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40" w:rsidRDefault="00B85440" w:rsidP="00B85440">
      <w:pPr>
        <w:jc w:val="center"/>
        <w:rPr>
          <w:b/>
          <w:bCs/>
          <w:sz w:val="32"/>
          <w:szCs w:val="32"/>
        </w:rPr>
      </w:pPr>
    </w:p>
    <w:p w:rsidR="00B85440" w:rsidRDefault="00B85440" w:rsidP="00B85440">
      <w:pPr>
        <w:jc w:val="center"/>
        <w:rPr>
          <w:b/>
          <w:bCs/>
          <w:sz w:val="32"/>
          <w:szCs w:val="32"/>
        </w:rPr>
      </w:pPr>
    </w:p>
    <w:p w:rsidR="00B85440" w:rsidRPr="00BF662C" w:rsidRDefault="00B85440" w:rsidP="00B85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40" w:rsidRPr="00BF662C" w:rsidRDefault="00B85440" w:rsidP="00B85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62C">
        <w:rPr>
          <w:rFonts w:ascii="Times New Roman" w:hAnsi="Times New Roman" w:cs="Times New Roman"/>
          <w:b/>
          <w:bCs/>
          <w:sz w:val="24"/>
          <w:szCs w:val="24"/>
        </w:rPr>
        <w:t>ИНФОРМАЦИОННА СРЕЩА</w:t>
      </w:r>
    </w:p>
    <w:p w:rsidR="00B85440" w:rsidRPr="00BF662C" w:rsidRDefault="00B85440" w:rsidP="00B85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62C">
        <w:rPr>
          <w:rFonts w:ascii="Times New Roman" w:hAnsi="Times New Roman" w:cs="Times New Roman"/>
          <w:b/>
          <w:bCs/>
          <w:sz w:val="24"/>
          <w:szCs w:val="24"/>
        </w:rPr>
        <w:t>за набиране на проектни предложения по</w:t>
      </w:r>
    </w:p>
    <w:p w:rsidR="00B85440" w:rsidRPr="00BF662C" w:rsidRDefault="00B85440" w:rsidP="00B85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62C">
        <w:rPr>
          <w:rFonts w:ascii="Times New Roman" w:hAnsi="Times New Roman" w:cs="Times New Roman"/>
          <w:b/>
          <w:bCs/>
          <w:sz w:val="24"/>
          <w:szCs w:val="24"/>
        </w:rPr>
        <w:t>НАЦИОНАЛЕН ПЛАН ЗА ВЪЗСТАНОВЯВАНЕ И УСТОЙЧИВОСТ</w:t>
      </w:r>
    </w:p>
    <w:p w:rsidR="00B85440" w:rsidRPr="00BF662C" w:rsidRDefault="00B85440" w:rsidP="00B85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40" w:rsidRPr="00BF662C" w:rsidRDefault="00B85440" w:rsidP="00B85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62C">
        <w:rPr>
          <w:rFonts w:ascii="Times New Roman" w:hAnsi="Times New Roman" w:cs="Times New Roman"/>
          <w:b/>
          <w:bCs/>
          <w:sz w:val="24"/>
          <w:szCs w:val="24"/>
        </w:rPr>
        <w:t>Процедура BG-RRP-4.023 - ПОДКРЕПА ЗА УСТОЙЧИВО ЕНЕРГИЙНО ОБНОВЯВАНЕ НА ЖИЛИЩНИЯ СГРАДЕН ФОНД -ЕТАП I</w:t>
      </w:r>
    </w:p>
    <w:p w:rsidR="00B85440" w:rsidRPr="00BF662C" w:rsidRDefault="00B85440" w:rsidP="00B85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BBB" w:rsidRPr="00BF662C" w:rsidRDefault="00B14BBB" w:rsidP="00B85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BBB" w:rsidRPr="00BF662C" w:rsidRDefault="00B14BBB" w:rsidP="00B85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BBB" w:rsidRPr="00BF662C" w:rsidRDefault="00B14BBB" w:rsidP="00B85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BBB" w:rsidRPr="00BF662C" w:rsidRDefault="00B14BBB" w:rsidP="00B85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40" w:rsidRPr="00BF662C" w:rsidRDefault="00B14BBB" w:rsidP="00B85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62C">
        <w:rPr>
          <w:rFonts w:ascii="Times New Roman" w:hAnsi="Times New Roman" w:cs="Times New Roman"/>
          <w:b/>
          <w:bCs/>
          <w:sz w:val="24"/>
          <w:szCs w:val="24"/>
        </w:rPr>
        <w:t xml:space="preserve">Крайната дата за прием на заявления по настоящата процедура </w:t>
      </w:r>
      <w:r w:rsidR="00CC27DE" w:rsidRPr="00BF662C">
        <w:rPr>
          <w:rFonts w:ascii="Times New Roman" w:hAnsi="Times New Roman" w:cs="Times New Roman"/>
          <w:b/>
          <w:bCs/>
          <w:sz w:val="24"/>
          <w:szCs w:val="24"/>
        </w:rPr>
        <w:t xml:space="preserve">в Община </w:t>
      </w:r>
      <w:r w:rsidR="00D3036D" w:rsidRPr="00BF662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CC27DE" w:rsidRPr="00BF662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F66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10.05.2023 г.</w:t>
      </w:r>
    </w:p>
    <w:p w:rsidR="00B85440" w:rsidRPr="00BF662C" w:rsidRDefault="00B85440" w:rsidP="00B85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40" w:rsidRPr="00BF662C" w:rsidRDefault="00B85440" w:rsidP="00B85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40" w:rsidRPr="00BF662C" w:rsidRDefault="00B85440" w:rsidP="00B85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40" w:rsidRPr="00BF662C" w:rsidRDefault="00B85440" w:rsidP="00B85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40" w:rsidRPr="00BF662C" w:rsidRDefault="00B85440" w:rsidP="00B85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440" w:rsidRPr="00BF662C" w:rsidRDefault="00B85440" w:rsidP="00B85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62C">
        <w:rPr>
          <w:rFonts w:ascii="Times New Roman" w:hAnsi="Times New Roman" w:cs="Times New Roman"/>
          <w:b/>
          <w:bCs/>
          <w:sz w:val="24"/>
          <w:szCs w:val="24"/>
        </w:rPr>
        <w:t xml:space="preserve">град </w:t>
      </w:r>
      <w:r w:rsidR="00D3036D" w:rsidRPr="00BF662C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Pr="00BF662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3036D" w:rsidRPr="00BF662C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BF662C">
        <w:rPr>
          <w:rFonts w:ascii="Times New Roman" w:hAnsi="Times New Roman" w:cs="Times New Roman"/>
          <w:b/>
          <w:bCs/>
          <w:sz w:val="24"/>
          <w:szCs w:val="24"/>
        </w:rPr>
        <w:t xml:space="preserve"> януари 2023 год.</w:t>
      </w:r>
    </w:p>
    <w:p w:rsidR="00B85440" w:rsidRPr="00BF662C" w:rsidRDefault="00B854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662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B85440" w:rsidRPr="00BF662C" w:rsidRDefault="00B85440" w:rsidP="000813E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468" w:rsidRPr="00BF662C" w:rsidRDefault="00DB5468" w:rsidP="000813E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2C">
        <w:rPr>
          <w:rFonts w:ascii="Times New Roman" w:hAnsi="Times New Roman" w:cs="Times New Roman"/>
          <w:b/>
          <w:sz w:val="24"/>
          <w:szCs w:val="24"/>
        </w:rPr>
        <w:t>НАЦИОНАЛЕН ПЛАН ЗА ВЪЗСТАНОВЯВАНЕ И УСТОЙЧИВОСТ</w:t>
      </w:r>
    </w:p>
    <w:p w:rsidR="00DB5468" w:rsidRPr="00BF662C" w:rsidRDefault="00DB5468" w:rsidP="000813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Отворена процедура за кандидатстване</w:t>
      </w:r>
    </w:p>
    <w:p w:rsidR="00DB5468" w:rsidRPr="00BF662C" w:rsidRDefault="00BA673B" w:rsidP="000813E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B5468" w:rsidRPr="00BF662C">
          <w:rPr>
            <w:rFonts w:ascii="Times New Roman" w:hAnsi="Times New Roman" w:cs="Times New Roman"/>
            <w:b/>
            <w:sz w:val="24"/>
            <w:szCs w:val="24"/>
          </w:rPr>
          <w:t>BG-RRP-4.023 - ПОДКРЕПА ЗА УСТОЙЧИВО ЕНЕРГИЙНО ОБНОВЯВАНЕ НА ЖИЛИЩНИЯ СГРАДЕН ФОНД -ЕТАП I</w:t>
        </w:r>
      </w:hyperlink>
    </w:p>
    <w:p w:rsidR="00DB5468" w:rsidRPr="00BF662C" w:rsidRDefault="00DB5468" w:rsidP="000813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Основната цел на процедурата за предоставяне на средства от Механизъм за възстановяване и устойчивост (МВУ) е устойчиво енергийно обновяване на националния сграден фонд от жилищни сгради.</w:t>
      </w:r>
    </w:p>
    <w:p w:rsidR="00DB5468" w:rsidRPr="00BF662C" w:rsidRDefault="00DB5468" w:rsidP="000813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Конкретни цели:</w:t>
      </w:r>
    </w:p>
    <w:p w:rsidR="00DB5468" w:rsidRPr="00BF662C" w:rsidRDefault="00DB5468" w:rsidP="000813EB">
      <w:pPr>
        <w:pStyle w:val="a7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Подобряване енергийните характеристики на националния сграден фонд от жилищни сгради, чрез прилагане на интегрирани енергоефективни мерки;</w:t>
      </w:r>
    </w:p>
    <w:p w:rsidR="00DB5468" w:rsidRPr="00BF662C" w:rsidRDefault="00DB5468" w:rsidP="000813EB">
      <w:pPr>
        <w:pStyle w:val="a7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Достигане на клас на енергопотребление минимум „B“ след прилагане на енергоспестяващи мерки при жилищни сгради;</w:t>
      </w:r>
    </w:p>
    <w:p w:rsidR="00DB5468" w:rsidRPr="00BF662C" w:rsidRDefault="00DB5468" w:rsidP="000813EB">
      <w:pPr>
        <w:pStyle w:val="a7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Стимулиране на минимум 30% спестяване на първична енергия за обновените жилищни сгради;</w:t>
      </w:r>
    </w:p>
    <w:p w:rsidR="00DB5468" w:rsidRPr="00BF662C" w:rsidRDefault="00DB5468" w:rsidP="000813EB">
      <w:pPr>
        <w:pStyle w:val="a7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Ресурсна ефективност, икономическа целесъобразност, декарбонизация чрез ВЕИ, устойчив строителен процес;</w:t>
      </w:r>
    </w:p>
    <w:p w:rsidR="00DB5468" w:rsidRPr="00BF662C" w:rsidRDefault="00DB5468" w:rsidP="000813EB">
      <w:pPr>
        <w:pStyle w:val="a7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Намаляване на енергийната бедност, чрез намаляване на разходите за енергия;</w:t>
      </w:r>
    </w:p>
    <w:p w:rsidR="00DB5468" w:rsidRPr="00BF662C" w:rsidRDefault="00DB5468" w:rsidP="000813EB">
      <w:pPr>
        <w:pStyle w:val="a7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Подобряване на условията и качеството за живот на населението в страната чрез технологично обновление и модернизиране на сградния фонд.</w:t>
      </w:r>
    </w:p>
    <w:p w:rsidR="007A75AC" w:rsidRPr="00BF662C" w:rsidRDefault="00DB5468" w:rsidP="000813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662C">
        <w:rPr>
          <w:rFonts w:ascii="Times New Roman" w:hAnsi="Times New Roman" w:cs="Times New Roman"/>
          <w:b/>
          <w:bCs/>
          <w:sz w:val="24"/>
          <w:szCs w:val="24"/>
        </w:rPr>
        <w:t>Краен срок за подаване на проектни предложения:</w:t>
      </w:r>
      <w:r w:rsidRPr="00BF662C">
        <w:rPr>
          <w:rFonts w:ascii="Times New Roman" w:hAnsi="Times New Roman" w:cs="Times New Roman"/>
          <w:sz w:val="24"/>
          <w:szCs w:val="24"/>
        </w:rPr>
        <w:t> </w:t>
      </w:r>
      <w:r w:rsidRPr="00BF662C">
        <w:rPr>
          <w:rFonts w:ascii="Times New Roman" w:hAnsi="Times New Roman" w:cs="Times New Roman"/>
          <w:b/>
          <w:bCs/>
          <w:sz w:val="24"/>
          <w:szCs w:val="24"/>
        </w:rPr>
        <w:t>31.05.2023 г. 17:00 ч.</w:t>
      </w:r>
    </w:p>
    <w:p w:rsidR="00DA6A98" w:rsidRPr="00BF662C" w:rsidRDefault="007A75AC" w:rsidP="000813E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 xml:space="preserve">Общият размер на средствата за тази процедура е в размер на 1 129 881 600 лева с ДДС. Допустими са всички многофамилни жилищни сгради, които се управляват по реда на Закона за управление на етажната собственост (ЗУЕС) и са проектирани преди 26 април 1999. Одобрените сгради ще получат </w:t>
      </w:r>
      <w:r w:rsidRPr="00BF662C">
        <w:rPr>
          <w:rFonts w:ascii="Times New Roman" w:hAnsi="Times New Roman" w:cs="Times New Roman"/>
          <w:b/>
          <w:sz w:val="24"/>
          <w:szCs w:val="24"/>
        </w:rPr>
        <w:t>до 100 % безвъзмездна финансова помощ.</w:t>
      </w:r>
    </w:p>
    <w:p w:rsidR="007A75AC" w:rsidRPr="00BF662C" w:rsidRDefault="007A75AC" w:rsidP="000813E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62C">
        <w:rPr>
          <w:rFonts w:ascii="Times New Roman" w:hAnsi="Times New Roman" w:cs="Times New Roman"/>
          <w:b/>
          <w:sz w:val="24"/>
          <w:szCs w:val="24"/>
        </w:rPr>
        <w:t>Насоките за кандидатстване и всички необходими документи са публикувани на електронната страница на МРРБ www.mrrb.bg, раздел „Проекти по НПВУ“, секция „Процедури по НПВУ“, подсекция „Процедури, отворени за кандидатстване“, Насоки за кандидатстване по процедура BG-RRP-4.023 „Подкрепа за устойчиво енергийно обновяване на жилищния сграден фонд - етап I“, както и на портала на ИСУН 2020: https://eumis2020.government.bg.</w:t>
      </w:r>
    </w:p>
    <w:p w:rsidR="000813EB" w:rsidRPr="00BF662C" w:rsidRDefault="000813EB" w:rsidP="000813E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3EB" w:rsidRPr="00BF662C" w:rsidRDefault="00BE1E8C" w:rsidP="00BE1E8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121672129"/>
      <w:r w:rsidRPr="00BF662C">
        <w:rPr>
          <w:rFonts w:ascii="Times New Roman" w:hAnsi="Times New Roman" w:cs="Times New Roman"/>
          <w:b/>
          <w:sz w:val="24"/>
          <w:szCs w:val="24"/>
        </w:rPr>
        <w:t>ДОПУСТИМИ КАНДИДАТИ</w:t>
      </w:r>
      <w:bookmarkEnd w:id="0"/>
    </w:p>
    <w:p w:rsidR="00BE1E8C" w:rsidRPr="00BF662C" w:rsidRDefault="00BE1E8C" w:rsidP="00BE1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 xml:space="preserve">Крайни получатели по настоящата процедура са Сдружения на собствениците, регистрирани по ЗУЕС, в допустимите за финансиране сгради, в които </w:t>
      </w:r>
      <w:r w:rsidRPr="00BF662C">
        <w:rPr>
          <w:rFonts w:ascii="Times New Roman" w:hAnsi="Times New Roman" w:cs="Times New Roman"/>
          <w:b/>
          <w:sz w:val="24"/>
          <w:szCs w:val="24"/>
        </w:rPr>
        <w:t>самостоятелни обекти са най-малко четири и принадлежат на повече от един собственик.</w:t>
      </w:r>
      <w:r w:rsidRPr="00BF662C" w:rsidDel="00A51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8DB" w:rsidRPr="00BF662C" w:rsidRDefault="008778DB" w:rsidP="00BE1E8C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62C">
        <w:rPr>
          <w:rFonts w:ascii="Times New Roman" w:hAnsi="Times New Roman" w:cs="Times New Roman"/>
          <w:b/>
          <w:bCs/>
          <w:i/>
          <w:sz w:val="24"/>
          <w:szCs w:val="24"/>
        </w:rPr>
        <w:t>Самостоятелен обект в сграда в режим на етажна собственост</w:t>
      </w:r>
      <w:r w:rsidRPr="00BF662C">
        <w:rPr>
          <w:rFonts w:ascii="Times New Roman" w:hAnsi="Times New Roman" w:cs="Times New Roman"/>
          <w:bCs/>
          <w:sz w:val="24"/>
          <w:szCs w:val="24"/>
        </w:rPr>
        <w:t xml:space="preserve"> - Обособена част от сграда в режим на етажна собственост със самостоятелно функционално предназначение.</w:t>
      </w:r>
    </w:p>
    <w:p w:rsidR="00350F39" w:rsidRPr="00BF662C" w:rsidRDefault="00350F39" w:rsidP="00BE1E8C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62C">
        <w:rPr>
          <w:rFonts w:ascii="Times New Roman" w:hAnsi="Times New Roman" w:cs="Times New Roman"/>
          <w:bCs/>
          <w:sz w:val="24"/>
          <w:szCs w:val="24"/>
        </w:rPr>
        <w:t xml:space="preserve">За да бъде приет отделен самостоятелен обект в сградата за жилище, трябва да има самостоятелен вход, най-малко едно жилищно помещение, кухня или кухненски бокс и баня-тоалетна, както и складово помещение, което може да бъде в жилището или извън него. </w:t>
      </w:r>
      <w:r w:rsidRPr="00BF662C">
        <w:rPr>
          <w:rFonts w:ascii="Times New Roman" w:hAnsi="Times New Roman" w:cs="Times New Roman"/>
          <w:bCs/>
          <w:sz w:val="24"/>
          <w:szCs w:val="24"/>
        </w:rPr>
        <w:lastRenderedPageBreak/>
        <w:t>Допустимо е помещенията да бъдат пространствено свързани с изключение на тоалетни и бани-тоалетни (съгласно чл. 40, ал. 1 от ЗУТ).</w:t>
      </w:r>
    </w:p>
    <w:p w:rsidR="00BE1E8C" w:rsidRPr="00BF662C" w:rsidRDefault="00BE1E8C" w:rsidP="00BE1E8C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62C">
        <w:rPr>
          <w:rFonts w:ascii="Times New Roman" w:hAnsi="Times New Roman" w:cs="Times New Roman"/>
          <w:bCs/>
          <w:sz w:val="24"/>
          <w:szCs w:val="24"/>
        </w:rPr>
        <w:t xml:space="preserve">Предложения за изпълнение на инвестиция по настоящата процедура могат да бъдат подавани само в партньорство с общинската администрация на общината, където се намира сградата. Общинската администрация ще бъде водещ партньор в проекта и ще изпълнява функциите по неговото административно и финансово управление, както и отчитането му пред Структура за наблюдение и докладване (СНД). Допустимо е една общинска администрация да участва с повече от едно проектно предложение. В едно проектно предложение не може да бъде включена повече от една сграда. </w:t>
      </w:r>
    </w:p>
    <w:p w:rsidR="009A13A0" w:rsidRPr="00BF662C" w:rsidRDefault="00BE1E8C" w:rsidP="00BE1E8C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662C">
        <w:rPr>
          <w:rFonts w:ascii="Times New Roman" w:hAnsi="Times New Roman" w:cs="Times New Roman"/>
          <w:b/>
          <w:i/>
          <w:sz w:val="24"/>
          <w:szCs w:val="24"/>
          <w:u w:val="single"/>
        </w:rPr>
        <w:t>Важно!</w:t>
      </w:r>
    </w:p>
    <w:p w:rsidR="00BE1E8C" w:rsidRPr="00BF662C" w:rsidRDefault="00BE1E8C" w:rsidP="00BE1E8C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66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Допустими са всички многофамилни жилищни сгради, които се управляват по реда на Закона за управление на етажната собственост (ЗУЕС) и са проектирани преди 26 април 1999 г. </w:t>
      </w:r>
    </w:p>
    <w:p w:rsidR="00BE1E8C" w:rsidRPr="00BF662C" w:rsidRDefault="00BE1E8C" w:rsidP="00BE1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При наличие на свързано строителство при кандидатстващи няколко блок-секции в една сграда, следва групата от блок-секции да кандидатстват с едно проектно предложение. В тази връзка е необходимо за групата от блок-секции да бъде създадено и регистрирано едно сдружение на собствениците по реда на ЗУЕС.</w:t>
      </w:r>
    </w:p>
    <w:p w:rsidR="00BE1E8C" w:rsidRPr="00BF662C" w:rsidRDefault="00BE1E8C" w:rsidP="000813E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121672130"/>
      <w:r w:rsidRPr="00BF662C">
        <w:rPr>
          <w:rFonts w:ascii="Times New Roman" w:hAnsi="Times New Roman" w:cs="Times New Roman"/>
          <w:b/>
          <w:sz w:val="24"/>
          <w:szCs w:val="24"/>
        </w:rPr>
        <w:t>ДОПУСТИМИ ДЕЙНОСТИ</w:t>
      </w:r>
      <w:bookmarkEnd w:id="1"/>
    </w:p>
    <w:p w:rsidR="00BE1E8C" w:rsidRPr="00BF662C" w:rsidRDefault="00BE1E8C" w:rsidP="00BE1E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Допустимите дейности за финансиране са:</w:t>
      </w:r>
    </w:p>
    <w:p w:rsidR="00BE1E8C" w:rsidRPr="00BF662C" w:rsidRDefault="00BE1E8C" w:rsidP="00BE1E8C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Дейности по изпълнение на мерки за енергийна ефективност, които са предписани като задължителни за сградата в обследването за енергийна ефективност:</w:t>
      </w:r>
    </w:p>
    <w:p w:rsidR="00BE1E8C" w:rsidRPr="00BF662C" w:rsidRDefault="00BE1E8C" w:rsidP="00BE1E8C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По външните сградни ограждащи елементи:</w:t>
      </w:r>
    </w:p>
    <w:p w:rsidR="00BE1E8C" w:rsidRPr="00BF662C" w:rsidRDefault="00BE1E8C" w:rsidP="00BE1E8C">
      <w:pPr>
        <w:numPr>
          <w:ilvl w:val="0"/>
          <w:numId w:val="4"/>
        </w:numPr>
        <w:tabs>
          <w:tab w:val="clear" w:pos="360"/>
          <w:tab w:val="num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подмяна на дограма (прозорци, врати, витрини и др.);</w:t>
      </w:r>
    </w:p>
    <w:p w:rsidR="00BE1E8C" w:rsidRPr="00BF662C" w:rsidRDefault="00BE1E8C" w:rsidP="00BE1E8C">
      <w:pPr>
        <w:numPr>
          <w:ilvl w:val="0"/>
          <w:numId w:val="4"/>
        </w:numPr>
        <w:tabs>
          <w:tab w:val="clear" w:pos="360"/>
          <w:tab w:val="num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топлинно изолиране на външните ограждащи елементи (външни стени, покриви, подове и др.);</w:t>
      </w:r>
    </w:p>
    <w:p w:rsidR="00BE1E8C" w:rsidRPr="00BF662C" w:rsidRDefault="00BE1E8C" w:rsidP="00BE1E8C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По системите за поддържане на микроклимата:</w:t>
      </w:r>
    </w:p>
    <w:p w:rsidR="00BE1E8C" w:rsidRPr="00BF662C" w:rsidRDefault="00BE1E8C" w:rsidP="00BE1E8C">
      <w:pPr>
        <w:numPr>
          <w:ilvl w:val="0"/>
          <w:numId w:val="4"/>
        </w:numPr>
        <w:tabs>
          <w:tab w:val="clear" w:pos="360"/>
          <w:tab w:val="num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ремонт, модернизация или подмяна на амортизирани общи части на системите за отопление, охлаждане и вентилация на сградата за повишаване на енергийната ефективност, в границите на вътрешната отоплителна инсталация и без да се засягат съоръжения и арматурата собственост на топлофикационни предприятия, регистрирани по Закона за енергетиката;</w:t>
      </w:r>
    </w:p>
    <w:p w:rsidR="00BE1E8C" w:rsidRPr="00BF662C" w:rsidRDefault="00BE1E8C" w:rsidP="00BE1E8C">
      <w:pPr>
        <w:numPr>
          <w:ilvl w:val="0"/>
          <w:numId w:val="4"/>
        </w:numPr>
        <w:tabs>
          <w:tab w:val="clear" w:pos="360"/>
          <w:tab w:val="num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реконструкция на вертикалната система за отопление в хоризонтална, като се осигурява индивидуално отчитане на разхода на топлина за всеки собственик на самостоятелен обект в сградата;</w:t>
      </w:r>
    </w:p>
    <w:p w:rsidR="00BE1E8C" w:rsidRPr="00BF662C" w:rsidRDefault="00BE1E8C" w:rsidP="00BE1E8C">
      <w:pPr>
        <w:numPr>
          <w:ilvl w:val="0"/>
          <w:numId w:val="4"/>
        </w:numPr>
        <w:tabs>
          <w:tab w:val="clear" w:pos="360"/>
          <w:tab w:val="num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ремонт или подмяна на електрическата инсталация в общите части на сградата и изпълнение на енергоспестяващо осветление в общите части;</w:t>
      </w:r>
    </w:p>
    <w:p w:rsidR="00BE1E8C" w:rsidRPr="00BF662C" w:rsidRDefault="00BE1E8C" w:rsidP="00BE1E8C">
      <w:pPr>
        <w:numPr>
          <w:ilvl w:val="0"/>
          <w:numId w:val="4"/>
        </w:numPr>
        <w:tabs>
          <w:tab w:val="clear" w:pos="360"/>
          <w:tab w:val="num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инсталиране на система за автоматизирано централизирано управление на осветлението в общите части на жилищната сграда;</w:t>
      </w:r>
    </w:p>
    <w:p w:rsidR="00BE1E8C" w:rsidRPr="00BF662C" w:rsidRDefault="00BE1E8C" w:rsidP="00BE1E8C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 xml:space="preserve">Поставяне/инсталиране на системи за оползотворяване на енергия от възобновяеми енергийни източници за енергийните потребности на сградата и батерии за съхранение </w:t>
      </w:r>
      <w:r w:rsidRPr="00BF662C">
        <w:rPr>
          <w:rFonts w:ascii="Times New Roman" w:hAnsi="Times New Roman" w:cs="Times New Roman"/>
          <w:sz w:val="24"/>
          <w:szCs w:val="24"/>
        </w:rPr>
        <w:lastRenderedPageBreak/>
        <w:t>на енергия, бойлери за гореща вода към общите части на системата (не за индивидуално ползване на СО), ако са предписани в енергийното обследване;</w:t>
      </w:r>
    </w:p>
    <w:p w:rsidR="00BE1E8C" w:rsidRPr="00BF662C" w:rsidRDefault="00BE1E8C" w:rsidP="00BE1E8C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Съпътстващи строителни и монтажни работи,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ефект. Съпътстващите строителни и монтажни работи са свързани единствено с възстановяването на първоначалното състояние, нарушено в резултат на обновяването на общите части и на подмяната на дограма в самостоятелния обект;</w:t>
      </w:r>
    </w:p>
    <w:p w:rsidR="00BE1E8C" w:rsidRPr="00BF662C" w:rsidRDefault="00BE1E8C" w:rsidP="00BE1E8C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Ремонт на покрив (скатен или плосък покрив), който може да включва дейности по възстановяване на покрития,  хидроизолация, обшивки,  водоотвеждаща система – допустимо само при предписана в енергийното обследване  енергоспестяваща мярка „Топлоизолация на покрив“;</w:t>
      </w:r>
    </w:p>
    <w:p w:rsidR="00BE1E8C" w:rsidRPr="00BF662C" w:rsidRDefault="00BE1E8C" w:rsidP="00BE1E8C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СМР, които произтичат от нормативни изисквания свързани с безопасната експлоатация на сградите и са предписани като задължителни в техническия паспорт на сградата и СМР, които са нормативно необходими за въвеждане на сградата в експлоатация:</w:t>
      </w:r>
    </w:p>
    <w:p w:rsidR="00BE1E8C" w:rsidRPr="00BF662C" w:rsidRDefault="00BE1E8C" w:rsidP="00BE1E8C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СМР, свързани с отстраняване на локални дефекти и повреди, които не нарушават общата конструктивна устойчивост на сградите, но в същото време създават пряка опасност за преките ползватели или неотстраняването им би довело до по-сериозни промени в носещата конструкция на сградата в бъдеще;</w:t>
      </w:r>
    </w:p>
    <w:p w:rsidR="00BE1E8C" w:rsidRPr="00BF662C" w:rsidRDefault="00BE1E8C" w:rsidP="00BE1E8C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СМР, свързани с осигуряване на пожарна безопасност, изграждане/ремонт/подмяна на мълниезащитна и заземителна инсталация, осигуряване на достъпна архитектурна среда до входа на жилищната сграда</w:t>
      </w:r>
      <w:r w:rsidR="00CC27DE" w:rsidRPr="00BF662C">
        <w:rPr>
          <w:rFonts w:ascii="Times New Roman" w:hAnsi="Times New Roman" w:cs="Times New Roman"/>
          <w:sz w:val="24"/>
          <w:szCs w:val="24"/>
        </w:rPr>
        <w:t xml:space="preserve"> (за сгради с асансьор – до асансьорната площадка)</w:t>
      </w:r>
      <w:r w:rsidRPr="00BF662C">
        <w:rPr>
          <w:rFonts w:ascii="Times New Roman" w:hAnsi="Times New Roman" w:cs="Times New Roman"/>
          <w:sz w:val="24"/>
          <w:szCs w:val="24"/>
        </w:rPr>
        <w:t>.</w:t>
      </w:r>
    </w:p>
    <w:p w:rsidR="00BF662C" w:rsidRPr="00BF662C" w:rsidRDefault="00BF662C" w:rsidP="00BF662C">
      <w:pPr>
        <w:shd w:val="clear" w:color="auto" w:fill="ED7D31" w:themeFill="accent2"/>
        <w:autoSpaceDE w:val="0"/>
        <w:autoSpaceDN w:val="0"/>
        <w:adjustRightInd w:val="0"/>
        <w:spacing w:after="120"/>
        <w:jc w:val="both"/>
        <w:rPr>
          <w:rFonts w:ascii="Times New Roman" w:eastAsia="Arial-BoldItalicMT" w:hAnsi="Times New Roman" w:cs="Times New Roman"/>
          <w:b/>
          <w:bCs/>
          <w:iCs/>
          <w:sz w:val="24"/>
          <w:szCs w:val="24"/>
          <w:u w:val="single"/>
          <w:lang w:eastAsia="ja-JP"/>
        </w:rPr>
      </w:pPr>
      <w:r w:rsidRPr="00BF662C">
        <w:rPr>
          <w:rFonts w:ascii="Times New Roman" w:eastAsia="Arial-BoldItalicMT" w:hAnsi="Times New Roman" w:cs="Times New Roman"/>
          <w:b/>
          <w:bCs/>
          <w:iCs/>
          <w:sz w:val="24"/>
          <w:szCs w:val="24"/>
          <w:u w:val="single"/>
          <w:lang w:eastAsia="ja-JP"/>
        </w:rPr>
        <w:t>ВАЖНО!</w:t>
      </w:r>
    </w:p>
    <w:p w:rsidR="00BF662C" w:rsidRPr="00BF662C" w:rsidRDefault="00BF662C" w:rsidP="00BF662C">
      <w:pPr>
        <w:shd w:val="clear" w:color="auto" w:fill="ED7D31" w:themeFill="accent2"/>
        <w:autoSpaceDE w:val="0"/>
        <w:autoSpaceDN w:val="0"/>
        <w:adjustRightInd w:val="0"/>
        <w:spacing w:after="120"/>
        <w:jc w:val="both"/>
        <w:rPr>
          <w:rFonts w:ascii="Times New Roman" w:eastAsia="ArialMT" w:hAnsi="Times New Roman" w:cs="Times New Roman"/>
          <w:sz w:val="24"/>
          <w:szCs w:val="24"/>
          <w:u w:val="single"/>
          <w:lang w:eastAsia="ja-JP"/>
        </w:rPr>
      </w:pPr>
      <w:r w:rsidRPr="00BF662C">
        <w:rPr>
          <w:rFonts w:ascii="Times New Roman" w:eastAsia="ArialMT" w:hAnsi="Times New Roman" w:cs="Times New Roman"/>
          <w:sz w:val="24"/>
          <w:szCs w:val="24"/>
          <w:u w:val="single"/>
          <w:lang w:eastAsia="ja-JP"/>
        </w:rPr>
        <w:t>Няма да се финансират:</w:t>
      </w:r>
    </w:p>
    <w:p w:rsidR="00BF662C" w:rsidRPr="00BF662C" w:rsidRDefault="00BF662C" w:rsidP="00BF662C">
      <w:pPr>
        <w:numPr>
          <w:ilvl w:val="0"/>
          <w:numId w:val="12"/>
        </w:numPr>
        <w:shd w:val="clear" w:color="auto" w:fill="ED7D31" w:themeFill="accent2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MT" w:hAnsi="Times New Roman" w:cs="Times New Roman"/>
          <w:sz w:val="24"/>
          <w:szCs w:val="24"/>
          <w:u w:val="single"/>
          <w:lang w:eastAsia="ja-JP"/>
        </w:rPr>
      </w:pPr>
      <w:r w:rsidRPr="00BF662C">
        <w:rPr>
          <w:rFonts w:ascii="Times New Roman" w:eastAsia="ArialMT" w:hAnsi="Times New Roman" w:cs="Times New Roman"/>
          <w:sz w:val="24"/>
          <w:szCs w:val="24"/>
          <w:u w:val="single"/>
          <w:lang w:eastAsia="ja-JP"/>
        </w:rPr>
        <w:t>Подмяна или монтиране на отоплителни тела в самостоятелните обекти;</w:t>
      </w:r>
    </w:p>
    <w:p w:rsidR="00BF662C" w:rsidRPr="00BF662C" w:rsidRDefault="00BF662C" w:rsidP="00BF662C">
      <w:pPr>
        <w:numPr>
          <w:ilvl w:val="0"/>
          <w:numId w:val="12"/>
        </w:numPr>
        <w:shd w:val="clear" w:color="auto" w:fill="ED7D31" w:themeFill="accent2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MT" w:hAnsi="Times New Roman" w:cs="Times New Roman"/>
          <w:sz w:val="24"/>
          <w:szCs w:val="24"/>
          <w:u w:val="single"/>
          <w:lang w:eastAsia="ja-JP"/>
        </w:rPr>
      </w:pPr>
      <w:r w:rsidRPr="00BF662C">
        <w:rPr>
          <w:rFonts w:ascii="Times New Roman" w:eastAsia="ArialMT" w:hAnsi="Times New Roman" w:cs="Times New Roman"/>
          <w:sz w:val="24"/>
          <w:szCs w:val="24"/>
          <w:u w:val="single"/>
          <w:lang w:eastAsia="ja-JP"/>
        </w:rPr>
        <w:t>Обзавеждане и оборудване в самостоятелните обекти;</w:t>
      </w:r>
    </w:p>
    <w:p w:rsidR="00BF662C" w:rsidRPr="00BF662C" w:rsidRDefault="00BF662C" w:rsidP="00BF662C">
      <w:pPr>
        <w:numPr>
          <w:ilvl w:val="0"/>
          <w:numId w:val="12"/>
        </w:numPr>
        <w:shd w:val="clear" w:color="auto" w:fill="ED7D31" w:themeFill="accent2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MT" w:hAnsi="Times New Roman" w:cs="Times New Roman"/>
          <w:sz w:val="24"/>
          <w:szCs w:val="24"/>
          <w:u w:val="single"/>
          <w:lang w:eastAsia="ja-JP"/>
        </w:rPr>
      </w:pPr>
      <w:r w:rsidRPr="00BF662C">
        <w:rPr>
          <w:rFonts w:ascii="Times New Roman" w:eastAsia="ArialMT" w:hAnsi="Times New Roman" w:cs="Times New Roman"/>
          <w:sz w:val="24"/>
          <w:szCs w:val="24"/>
          <w:u w:val="single"/>
          <w:lang w:eastAsia="ja-JP"/>
        </w:rPr>
        <w:t>Ремонт в самостоятелните обекти извън дейностите по възстановяване на първоначалното състояние на обектите вследствие ремонта на общите части или подмяната на дограма;</w:t>
      </w:r>
    </w:p>
    <w:p w:rsidR="00BF662C" w:rsidRPr="00BF662C" w:rsidRDefault="00BF662C" w:rsidP="00BF662C">
      <w:pPr>
        <w:numPr>
          <w:ilvl w:val="0"/>
          <w:numId w:val="12"/>
        </w:numPr>
        <w:shd w:val="clear" w:color="auto" w:fill="ED7D31" w:themeFill="accent2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MT" w:hAnsi="Times New Roman" w:cs="Times New Roman"/>
          <w:sz w:val="24"/>
          <w:szCs w:val="24"/>
          <w:u w:val="single"/>
          <w:lang w:eastAsia="ja-JP"/>
        </w:rPr>
      </w:pPr>
      <w:r w:rsidRPr="00BF662C">
        <w:rPr>
          <w:rFonts w:ascii="Times New Roman" w:eastAsia="ArialMT" w:hAnsi="Times New Roman" w:cs="Times New Roman"/>
          <w:sz w:val="24"/>
          <w:szCs w:val="24"/>
          <w:u w:val="single"/>
          <w:lang w:eastAsia="ja-JP"/>
        </w:rPr>
        <w:t>Изпълнение на мерки по асансьорите и/или подмяна и/или монтиране на асансьори с нови или втора употреба;</w:t>
      </w:r>
    </w:p>
    <w:p w:rsidR="00BF662C" w:rsidRPr="00BF662C" w:rsidRDefault="00BF662C" w:rsidP="00BF662C">
      <w:pPr>
        <w:numPr>
          <w:ilvl w:val="0"/>
          <w:numId w:val="12"/>
        </w:numPr>
        <w:shd w:val="clear" w:color="auto" w:fill="ED7D31" w:themeFill="accent2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MT" w:hAnsi="Times New Roman" w:cs="Times New Roman"/>
          <w:sz w:val="24"/>
          <w:szCs w:val="24"/>
          <w:u w:val="single"/>
          <w:lang w:eastAsia="ja-JP"/>
        </w:rPr>
      </w:pPr>
      <w:r w:rsidRPr="00BF662C">
        <w:rPr>
          <w:rFonts w:ascii="Times New Roman" w:eastAsia="ArialMT" w:hAnsi="Times New Roman" w:cs="Times New Roman"/>
          <w:sz w:val="24"/>
          <w:szCs w:val="24"/>
          <w:u w:val="single"/>
          <w:lang w:eastAsia="ja-JP"/>
        </w:rPr>
        <w:t>Изпълнение на дейности по вертикална планировка около сградата;</w:t>
      </w:r>
    </w:p>
    <w:p w:rsidR="00BF662C" w:rsidRPr="00BF662C" w:rsidRDefault="00BF662C" w:rsidP="00BF662C">
      <w:pPr>
        <w:numPr>
          <w:ilvl w:val="0"/>
          <w:numId w:val="12"/>
        </w:numPr>
        <w:shd w:val="clear" w:color="auto" w:fill="ED7D31" w:themeFill="accent2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-BoldItalicMT" w:hAnsi="Times New Roman" w:cs="Times New Roman"/>
          <w:sz w:val="24"/>
          <w:szCs w:val="24"/>
          <w:u w:val="single"/>
          <w:lang w:eastAsia="ja-JP"/>
        </w:rPr>
      </w:pPr>
      <w:r w:rsidRPr="00BF662C">
        <w:rPr>
          <w:rFonts w:ascii="Times New Roman" w:eastAsia="ArialMT" w:hAnsi="Times New Roman" w:cs="Times New Roman"/>
          <w:sz w:val="24"/>
          <w:szCs w:val="24"/>
          <w:u w:val="single"/>
          <w:lang w:eastAsia="ja-JP"/>
        </w:rPr>
        <w:t>Ремонт и подмяна на ВиК инсталации.</w:t>
      </w:r>
    </w:p>
    <w:p w:rsidR="00BF662C" w:rsidRDefault="00BF662C" w:rsidP="00BF66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Допустими за финансиране са и следните съпътстващи дейности:</w:t>
      </w:r>
    </w:p>
    <w:p w:rsidR="00BF662C" w:rsidRDefault="00BF662C" w:rsidP="00BF662C">
      <w:pPr>
        <w:pStyle w:val="GfAheading1"/>
        <w:numPr>
          <w:ilvl w:val="0"/>
          <w:numId w:val="14"/>
        </w:numPr>
        <w:tabs>
          <w:tab w:val="clear" w:pos="360"/>
          <w:tab w:val="num" w:pos="426"/>
        </w:tabs>
        <w:spacing w:before="120"/>
        <w:ind w:left="426" w:firstLine="0"/>
        <w:jc w:val="both"/>
        <w:rPr>
          <w:b w:val="0"/>
        </w:rPr>
      </w:pPr>
      <w:r>
        <w:rPr>
          <w:b w:val="0"/>
        </w:rPr>
        <w:t>Извършване на обследване за енергийна ефективност и сертифициране за ЕЕ – първоначално обследване за енергийна ефективност за целите на подаване на предложение по настоящата процедура;</w:t>
      </w:r>
    </w:p>
    <w:p w:rsidR="00BF662C" w:rsidRDefault="00BF662C" w:rsidP="00BF662C">
      <w:pPr>
        <w:pStyle w:val="GfAheading1"/>
        <w:numPr>
          <w:ilvl w:val="0"/>
          <w:numId w:val="14"/>
        </w:numPr>
        <w:tabs>
          <w:tab w:val="clear" w:pos="360"/>
          <w:tab w:val="num" w:pos="426"/>
        </w:tabs>
        <w:spacing w:before="120"/>
        <w:ind w:left="426" w:firstLine="0"/>
        <w:jc w:val="both"/>
        <w:rPr>
          <w:b w:val="0"/>
        </w:rPr>
      </w:pPr>
      <w:r>
        <w:rPr>
          <w:b w:val="0"/>
        </w:rPr>
        <w:lastRenderedPageBreak/>
        <w:t>Изготвяне на обследване за установяване на техническите характеристики, свързани с изискванията по чл. 169, ал. 1 (т. 1 - 5) и ал. 3 от ЗУТ и на технически паспорт на сградата;</w:t>
      </w:r>
    </w:p>
    <w:p w:rsidR="00BF662C" w:rsidRDefault="00BF662C" w:rsidP="00BF662C">
      <w:pPr>
        <w:pStyle w:val="GfAheading1"/>
        <w:numPr>
          <w:ilvl w:val="0"/>
          <w:numId w:val="14"/>
        </w:numPr>
        <w:tabs>
          <w:tab w:val="clear" w:pos="360"/>
          <w:tab w:val="num" w:pos="426"/>
        </w:tabs>
        <w:spacing w:before="120"/>
        <w:ind w:left="426" w:firstLine="0"/>
        <w:jc w:val="both"/>
        <w:rPr>
          <w:b w:val="0"/>
        </w:rPr>
      </w:pPr>
      <w:r>
        <w:rPr>
          <w:b w:val="0"/>
        </w:rPr>
        <w:t xml:space="preserve">Изготвяне на независима експертна оценка, изготвена от сертифициран енергиен одитор (лица от регистъра по чл.44 ал. 1 от Закона за енергийна ефективност) след приключване на дейностите по изпълнение на СМР; </w:t>
      </w:r>
    </w:p>
    <w:p w:rsidR="00BF662C" w:rsidRDefault="00BF662C" w:rsidP="00BF662C">
      <w:pPr>
        <w:pStyle w:val="GfAheading1"/>
        <w:numPr>
          <w:ilvl w:val="0"/>
          <w:numId w:val="14"/>
        </w:numPr>
        <w:tabs>
          <w:tab w:val="clear" w:pos="360"/>
          <w:tab w:val="num" w:pos="426"/>
        </w:tabs>
        <w:spacing w:before="120"/>
        <w:ind w:left="426" w:firstLine="0"/>
        <w:jc w:val="both"/>
        <w:rPr>
          <w:b w:val="0"/>
        </w:rPr>
      </w:pPr>
      <w:r>
        <w:rPr>
          <w:b w:val="0"/>
        </w:rPr>
        <w:t>Изготвяне на инвестиционен проект и оценка на съответствието му съгласно ЗУТ;</w:t>
      </w:r>
    </w:p>
    <w:p w:rsidR="00BF662C" w:rsidRDefault="00BF662C" w:rsidP="00BF662C">
      <w:pPr>
        <w:pStyle w:val="GfAheading1"/>
        <w:numPr>
          <w:ilvl w:val="0"/>
          <w:numId w:val="14"/>
        </w:numPr>
        <w:tabs>
          <w:tab w:val="clear" w:pos="360"/>
          <w:tab w:val="num" w:pos="426"/>
        </w:tabs>
        <w:spacing w:before="120"/>
        <w:ind w:left="426" w:firstLine="0"/>
        <w:jc w:val="both"/>
        <w:rPr>
          <w:b w:val="0"/>
        </w:rPr>
      </w:pPr>
      <w:r>
        <w:rPr>
          <w:b w:val="0"/>
        </w:rPr>
        <w:t>Авторски и строителен надзор съгласно ЗУТ;</w:t>
      </w:r>
    </w:p>
    <w:p w:rsidR="00BF662C" w:rsidRDefault="00BF662C" w:rsidP="00BF662C">
      <w:pPr>
        <w:pStyle w:val="GfAheading1"/>
        <w:numPr>
          <w:ilvl w:val="0"/>
          <w:numId w:val="14"/>
        </w:numPr>
        <w:tabs>
          <w:tab w:val="clear" w:pos="360"/>
          <w:tab w:val="num" w:pos="426"/>
        </w:tabs>
        <w:spacing w:before="120"/>
        <w:ind w:left="426" w:firstLine="0"/>
        <w:jc w:val="both"/>
        <w:rPr>
          <w:b w:val="0"/>
        </w:rPr>
      </w:pPr>
      <w:r>
        <w:rPr>
          <w:b w:val="0"/>
        </w:rPr>
        <w:t>Въвеждане на обекта в експлоатация;</w:t>
      </w:r>
    </w:p>
    <w:p w:rsidR="00BF662C" w:rsidRDefault="00BF662C" w:rsidP="00BF662C">
      <w:pPr>
        <w:pStyle w:val="GfAheading1"/>
        <w:numPr>
          <w:ilvl w:val="0"/>
          <w:numId w:val="14"/>
        </w:numPr>
        <w:tabs>
          <w:tab w:val="clear" w:pos="360"/>
          <w:tab w:val="num" w:pos="426"/>
        </w:tabs>
        <w:spacing w:before="120"/>
        <w:ind w:left="426" w:firstLine="0"/>
        <w:jc w:val="both"/>
        <w:rPr>
          <w:b w:val="0"/>
        </w:rPr>
      </w:pPr>
      <w:r>
        <w:rPr>
          <w:b w:val="0"/>
        </w:rPr>
        <w:t>Публичност и информация на проекта;</w:t>
      </w:r>
    </w:p>
    <w:p w:rsidR="00BF662C" w:rsidRDefault="00BF662C" w:rsidP="00BF662C">
      <w:pPr>
        <w:pStyle w:val="GfAheading1"/>
        <w:numPr>
          <w:ilvl w:val="0"/>
          <w:numId w:val="14"/>
        </w:numPr>
        <w:tabs>
          <w:tab w:val="clear" w:pos="360"/>
          <w:tab w:val="num" w:pos="426"/>
        </w:tabs>
        <w:spacing w:before="120"/>
        <w:ind w:left="426" w:firstLine="0"/>
        <w:jc w:val="both"/>
        <w:rPr>
          <w:b w:val="0"/>
        </w:rPr>
      </w:pPr>
      <w:r>
        <w:rPr>
          <w:b w:val="0"/>
        </w:rPr>
        <w:t xml:space="preserve">Организация и управление на проекта. </w:t>
      </w:r>
    </w:p>
    <w:p w:rsidR="00BF662C" w:rsidRDefault="00BF662C" w:rsidP="00BF662C">
      <w:pPr>
        <w:pStyle w:val="GfAheading1"/>
        <w:numPr>
          <w:ilvl w:val="0"/>
          <w:numId w:val="0"/>
        </w:numPr>
        <w:tabs>
          <w:tab w:val="left" w:pos="708"/>
        </w:tabs>
        <w:spacing w:before="120"/>
        <w:ind w:left="360"/>
        <w:jc w:val="both"/>
        <w:rPr>
          <w:b w:val="0"/>
        </w:rPr>
      </w:pPr>
    </w:p>
    <w:p w:rsidR="00053D3C" w:rsidRPr="00BF662C" w:rsidRDefault="00053D3C" w:rsidP="00053D3C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662C">
        <w:rPr>
          <w:rFonts w:ascii="Times New Roman" w:hAnsi="Times New Roman" w:cs="Times New Roman"/>
          <w:b/>
          <w:i/>
          <w:sz w:val="24"/>
          <w:szCs w:val="24"/>
          <w:u w:val="single"/>
        </w:rPr>
        <w:t>Важно!</w:t>
      </w:r>
    </w:p>
    <w:p w:rsidR="00053D3C" w:rsidRPr="00BF662C" w:rsidRDefault="00053D3C" w:rsidP="00053D3C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66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Изисквания за постигнати енергийни параметри от приложените мерки: </w:t>
      </w:r>
    </w:p>
    <w:p w:rsidR="00053D3C" w:rsidRPr="00BF662C" w:rsidRDefault="00053D3C" w:rsidP="00053D3C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662C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След изпълнение на енергоспестяващи мерки (ЕСМ) сградите следва да постигат </w:t>
      </w:r>
      <w:r w:rsidRPr="00BF662C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 на енергопотребление „В” или по-висок.</w:t>
      </w:r>
      <w:r w:rsidRPr="00BF662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53D3C" w:rsidRPr="00BF662C" w:rsidRDefault="00053D3C" w:rsidP="00053D3C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662C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Задължително изискване е след изпълнение на мерките в многофамилната сграда </w:t>
      </w:r>
      <w:r w:rsidRPr="00BF662C">
        <w:rPr>
          <w:rFonts w:ascii="Times New Roman" w:hAnsi="Times New Roman" w:cs="Times New Roman"/>
          <w:b/>
          <w:i/>
          <w:sz w:val="24"/>
          <w:szCs w:val="24"/>
          <w:u w:val="single"/>
        </w:rPr>
        <w:t>да се постигне минимум 30% спестяване на първична енергия</w:t>
      </w:r>
      <w:r w:rsidRPr="00BF662C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053D3C" w:rsidRPr="00BF662C" w:rsidRDefault="00053D3C" w:rsidP="00053D3C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66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случай, че след изпълнение на предложение за изпълнение на инвестиция (ПИИ) не се постигне минимум 30 % спестяване на първична енергия, както и клас на енергопотребление „В” съгласно действащата към датата на изготвяне на инвестиционния проект нормативна уредба, всички получени средства подлежат на възстановяване. </w:t>
      </w:r>
    </w:p>
    <w:p w:rsidR="00053D3C" w:rsidRPr="00BF662C" w:rsidRDefault="00053D3C" w:rsidP="00061C0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 xml:space="preserve">Мерки за енергийна ефективност ще се изпълняват въз основа на </w:t>
      </w:r>
      <w:r w:rsidRPr="00BF662C">
        <w:rPr>
          <w:rFonts w:ascii="Times New Roman" w:hAnsi="Times New Roman" w:cs="Times New Roman"/>
          <w:b/>
          <w:sz w:val="24"/>
          <w:szCs w:val="24"/>
        </w:rPr>
        <w:t xml:space="preserve">обследване за енергийна ефективност </w:t>
      </w:r>
      <w:r w:rsidRPr="00BF662C">
        <w:rPr>
          <w:rFonts w:ascii="Times New Roman" w:hAnsi="Times New Roman" w:cs="Times New Roman"/>
          <w:sz w:val="24"/>
          <w:szCs w:val="24"/>
        </w:rPr>
        <w:t xml:space="preserve">на съответната сграда. Обследването за енергийна ефективност следва да бъде придружено от </w:t>
      </w:r>
      <w:r w:rsidRPr="00BF662C">
        <w:rPr>
          <w:rFonts w:ascii="Times New Roman" w:hAnsi="Times New Roman" w:cs="Times New Roman"/>
          <w:b/>
          <w:sz w:val="24"/>
          <w:szCs w:val="24"/>
        </w:rPr>
        <w:t xml:space="preserve">валиден сертификат за енергийни характеристики на сграда в експлоатация, </w:t>
      </w:r>
      <w:r w:rsidRPr="00BF662C">
        <w:rPr>
          <w:rFonts w:ascii="Times New Roman" w:hAnsi="Times New Roman" w:cs="Times New Roman"/>
          <w:sz w:val="24"/>
          <w:szCs w:val="24"/>
        </w:rPr>
        <w:t xml:space="preserve">изготвени по реда на чл. 48 от ЗЕЕ. Докладът от обследването за енергийна ефективност следва бъде изготвен в обхват и съдържание съгласно изискванията, определени в приложимата подзаконова нормативна уредба (Наредбата по чл. 48 от ЗЕЕ). </w:t>
      </w:r>
      <w:r w:rsidRPr="00BF662C">
        <w:rPr>
          <w:rFonts w:ascii="Times New Roman" w:hAnsi="Times New Roman" w:cs="Times New Roman"/>
          <w:b/>
          <w:sz w:val="24"/>
          <w:szCs w:val="24"/>
        </w:rPr>
        <w:t>Наличието на енергийно и техническо обследване (включително сертификат за енергийни характеристики на сграда в експлоатация и технически паспорт) е предварително условие за кандидатстване по настоящата процедура.</w:t>
      </w:r>
    </w:p>
    <w:p w:rsidR="00061C04" w:rsidRPr="00BF662C" w:rsidRDefault="00053D3C" w:rsidP="00061C0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662C">
        <w:rPr>
          <w:rFonts w:ascii="Times New Roman" w:hAnsi="Times New Roman" w:cs="Times New Roman"/>
          <w:sz w:val="24"/>
          <w:szCs w:val="24"/>
        </w:rPr>
        <w:t xml:space="preserve">Проекти, свързани с внедряване на мерки за енергийна ефективност, ще се финансират само </w:t>
      </w:r>
      <w:r w:rsidRPr="00BF662C">
        <w:rPr>
          <w:rFonts w:ascii="Times New Roman" w:hAnsi="Times New Roman" w:cs="Times New Roman"/>
          <w:b/>
          <w:sz w:val="24"/>
          <w:szCs w:val="24"/>
        </w:rPr>
        <w:t>след извършено обследване за установяване на техническите характеристики</w:t>
      </w:r>
      <w:r w:rsidRPr="00BF662C">
        <w:rPr>
          <w:rFonts w:ascii="Times New Roman" w:hAnsi="Times New Roman" w:cs="Times New Roman"/>
          <w:sz w:val="24"/>
          <w:szCs w:val="24"/>
        </w:rPr>
        <w:t>, свързани с удовлетворяване на изискванията по чл.169, ал.1 и ал. 3 от ЗУТ в съответствие с изискванията, определени в глава трета на Наредба № 5 от 2006 г. за техническите паспорти на строежите.</w:t>
      </w:r>
    </w:p>
    <w:p w:rsidR="00061C04" w:rsidRPr="00BF662C" w:rsidRDefault="00061C04" w:rsidP="009A13A0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662C">
        <w:rPr>
          <w:rFonts w:ascii="Times New Roman" w:hAnsi="Times New Roman" w:cs="Times New Roman"/>
          <w:b/>
          <w:i/>
          <w:sz w:val="24"/>
          <w:szCs w:val="24"/>
          <w:u w:val="single"/>
        </w:rPr>
        <w:t>Важно!</w:t>
      </w:r>
    </w:p>
    <w:p w:rsidR="007A75AC" w:rsidRPr="00BF662C" w:rsidRDefault="00061C04" w:rsidP="009A13A0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66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Поради промени в подзаконовата нормативна уредба, касаеща </w:t>
      </w:r>
      <w:r w:rsidR="009A13A0" w:rsidRPr="00BF66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обследването за </w:t>
      </w:r>
      <w:r w:rsidRPr="00BF662C">
        <w:rPr>
          <w:rFonts w:ascii="Times New Roman" w:hAnsi="Times New Roman" w:cs="Times New Roman"/>
          <w:b/>
          <w:i/>
          <w:sz w:val="24"/>
          <w:szCs w:val="24"/>
          <w:u w:val="single"/>
        </w:rPr>
        <w:t>енергийна ефективност</w:t>
      </w:r>
      <w:r w:rsidR="009A13A0" w:rsidRPr="00BF662C">
        <w:rPr>
          <w:rFonts w:ascii="Times New Roman" w:hAnsi="Times New Roman" w:cs="Times New Roman"/>
          <w:b/>
          <w:i/>
          <w:sz w:val="24"/>
          <w:szCs w:val="24"/>
          <w:u w:val="single"/>
        </w:rPr>
        <w:t>, за всички многофамилни жилищни слади, следва да се направи ново обследване или наличн</w:t>
      </w:r>
      <w:r w:rsidR="00350F39" w:rsidRPr="00BF662C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9A13A0" w:rsidRPr="00BF66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то да се актуализира, съгласно новите изисквания. </w:t>
      </w:r>
      <w:r w:rsidRPr="00BF66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A13A0" w:rsidRPr="00BF662C" w:rsidRDefault="009A13A0" w:rsidP="004F602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121672132"/>
      <w:r w:rsidRPr="00BF662C">
        <w:rPr>
          <w:rFonts w:ascii="Times New Roman" w:hAnsi="Times New Roman" w:cs="Times New Roman"/>
          <w:b/>
          <w:sz w:val="24"/>
          <w:szCs w:val="24"/>
        </w:rPr>
        <w:t>СТЕПЕН НА ПРОЕКТНА ГОТОВНОСТ</w:t>
      </w:r>
      <w:bookmarkEnd w:id="2"/>
    </w:p>
    <w:p w:rsidR="009A13A0" w:rsidRPr="00BF662C" w:rsidRDefault="009A13A0" w:rsidP="004F602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lastRenderedPageBreak/>
        <w:t>Крайните получатели – сдружения на собствениците, създадени по реда на ЗУЕС, се обръщат за партньорство пред общината, като подават заявление за участие по образец.</w:t>
      </w:r>
    </w:p>
    <w:p w:rsidR="009A13A0" w:rsidRPr="00BF662C" w:rsidRDefault="009A13A0" w:rsidP="004F602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62C">
        <w:rPr>
          <w:rFonts w:ascii="Times New Roman" w:hAnsi="Times New Roman" w:cs="Times New Roman"/>
          <w:b/>
          <w:sz w:val="24"/>
          <w:szCs w:val="24"/>
        </w:rPr>
        <w:t>За сградата следва да бъде представено:</w:t>
      </w:r>
    </w:p>
    <w:p w:rsidR="009A13A0" w:rsidRPr="00BF662C" w:rsidRDefault="009A13A0" w:rsidP="004F6020">
      <w:pPr>
        <w:numPr>
          <w:ilvl w:val="0"/>
          <w:numId w:val="9"/>
        </w:numPr>
        <w:spacing w:before="120"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62C">
        <w:rPr>
          <w:rFonts w:ascii="Times New Roman" w:hAnsi="Times New Roman" w:cs="Times New Roman"/>
          <w:bCs/>
          <w:sz w:val="24"/>
          <w:szCs w:val="24"/>
        </w:rPr>
        <w:t>Заявление за участие;</w:t>
      </w:r>
    </w:p>
    <w:p w:rsidR="009A13A0" w:rsidRPr="00BF662C" w:rsidRDefault="009A13A0" w:rsidP="004F6020">
      <w:pPr>
        <w:numPr>
          <w:ilvl w:val="0"/>
          <w:numId w:val="9"/>
        </w:numPr>
        <w:spacing w:before="120"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62C">
        <w:rPr>
          <w:rFonts w:ascii="Times New Roman" w:hAnsi="Times New Roman" w:cs="Times New Roman"/>
          <w:bCs/>
          <w:sz w:val="24"/>
          <w:szCs w:val="24"/>
        </w:rPr>
        <w:t>Обследване за енергийна ефективност и валиден сертификат за енергийни характеристики на сграда в експлоатация, изготвени по реда на чл. 48 от ЗЕЕ;</w:t>
      </w:r>
    </w:p>
    <w:p w:rsidR="009A13A0" w:rsidRPr="00BF662C" w:rsidRDefault="009A13A0" w:rsidP="004F6020">
      <w:pPr>
        <w:numPr>
          <w:ilvl w:val="0"/>
          <w:numId w:val="9"/>
        </w:numPr>
        <w:spacing w:before="120"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62C">
        <w:rPr>
          <w:rFonts w:ascii="Times New Roman" w:hAnsi="Times New Roman" w:cs="Times New Roman"/>
          <w:bCs/>
          <w:sz w:val="24"/>
          <w:szCs w:val="24"/>
        </w:rPr>
        <w:t>Обследване за установяване на техническите характеристики, свързани с удовлетворяване на изискванията по чл. 169, ал. 1 и ал. 3 от ЗУТ и Технически паспорт в съответствие с изискванията, определени в глава трета на Наредба № 5 от 2006 г. за техническите паспорти на строежите;</w:t>
      </w:r>
    </w:p>
    <w:p w:rsidR="009A13A0" w:rsidRPr="00BF662C" w:rsidRDefault="009A13A0" w:rsidP="004F6020">
      <w:pPr>
        <w:numPr>
          <w:ilvl w:val="0"/>
          <w:numId w:val="9"/>
        </w:numPr>
        <w:spacing w:before="120"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62C">
        <w:rPr>
          <w:rFonts w:ascii="Times New Roman" w:hAnsi="Times New Roman" w:cs="Times New Roman"/>
          <w:bCs/>
          <w:sz w:val="24"/>
          <w:szCs w:val="24"/>
        </w:rPr>
        <w:t xml:space="preserve">Документи свързани с проведените общи събрания за създаване на СС или други документи свързани с вземане на решения от страна на етажната собственост. </w:t>
      </w:r>
    </w:p>
    <w:p w:rsidR="009A13A0" w:rsidRPr="00BF662C" w:rsidRDefault="009A13A0" w:rsidP="004F6020">
      <w:pPr>
        <w:numPr>
          <w:ilvl w:val="0"/>
          <w:numId w:val="9"/>
        </w:numPr>
        <w:spacing w:before="120"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62C">
        <w:rPr>
          <w:rFonts w:ascii="Times New Roman" w:hAnsi="Times New Roman" w:cs="Times New Roman"/>
          <w:bCs/>
          <w:sz w:val="24"/>
          <w:szCs w:val="24"/>
        </w:rPr>
        <w:t>Декларации за готовност за осигуряване на достъп до самостоятелните обекти;</w:t>
      </w:r>
    </w:p>
    <w:p w:rsidR="009A13A0" w:rsidRPr="00BF662C" w:rsidRDefault="009A13A0" w:rsidP="004F6020">
      <w:pPr>
        <w:numPr>
          <w:ilvl w:val="0"/>
          <w:numId w:val="9"/>
        </w:numPr>
        <w:spacing w:before="120"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62C">
        <w:rPr>
          <w:rFonts w:ascii="Times New Roman" w:hAnsi="Times New Roman" w:cs="Times New Roman"/>
          <w:bCs/>
          <w:sz w:val="24"/>
          <w:szCs w:val="24"/>
        </w:rPr>
        <w:t>Други документи необходими за изготвянето на проектното предложение и изпълнението на проекта.</w:t>
      </w:r>
    </w:p>
    <w:p w:rsidR="004F6020" w:rsidRPr="00BF662C" w:rsidRDefault="004F6020" w:rsidP="004E3B6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След преглед на посочената документация и изготвяне на обобщено КСС – водещият партньор (общината) предлага на Крайния получател (СС) да сключат партньорско споразумение. В партньорското споразумение двете страни следва да разпишат всички права и задължения на партньорите, за периода на кандидатстване, в периода на изпълнение на дейностите по обновяване на сградата и в периода на усто</w:t>
      </w:r>
      <w:bookmarkStart w:id="3" w:name="_GoBack"/>
      <w:bookmarkEnd w:id="3"/>
      <w:r w:rsidRPr="00BF662C">
        <w:rPr>
          <w:rFonts w:ascii="Times New Roman" w:hAnsi="Times New Roman" w:cs="Times New Roman"/>
          <w:sz w:val="24"/>
          <w:szCs w:val="24"/>
        </w:rPr>
        <w:t>йчивост.</w:t>
      </w:r>
    </w:p>
    <w:p w:rsidR="009D3C87" w:rsidRPr="007965C4" w:rsidRDefault="00F9488D" w:rsidP="004E3B68">
      <w:p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65C4">
        <w:rPr>
          <w:rFonts w:ascii="Times New Roman" w:hAnsi="Times New Roman" w:cs="Times New Roman"/>
          <w:sz w:val="24"/>
          <w:szCs w:val="24"/>
        </w:rPr>
        <w:t xml:space="preserve">В </w:t>
      </w:r>
      <w:r w:rsidRPr="007965C4">
        <w:rPr>
          <w:rFonts w:ascii="Times New Roman" w:hAnsi="Times New Roman" w:cs="Times New Roman"/>
          <w:sz w:val="24"/>
          <w:szCs w:val="24"/>
        </w:rPr>
        <w:t xml:space="preserve">Предметът на дейност на създаденото сдружение съответства на редакцията на чл.25 от ЗУЕС към 01.01.2016 г., а именно :“За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</w:t>
      </w:r>
      <w:proofErr w:type="spellStart"/>
      <w:r w:rsidRPr="007965C4">
        <w:rPr>
          <w:rFonts w:ascii="Times New Roman" w:hAnsi="Times New Roman" w:cs="Times New Roman"/>
          <w:sz w:val="24"/>
          <w:szCs w:val="24"/>
        </w:rPr>
        <w:t>обовяване</w:t>
      </w:r>
      <w:proofErr w:type="spellEnd"/>
      <w:r w:rsidRPr="007965C4">
        <w:rPr>
          <w:rFonts w:ascii="Times New Roman" w:hAnsi="Times New Roman" w:cs="Times New Roman"/>
          <w:sz w:val="24"/>
          <w:szCs w:val="24"/>
        </w:rPr>
        <w:t xml:space="preserve"> на сгради в режим на етажна собственост“;</w:t>
      </w:r>
    </w:p>
    <w:p w:rsidR="004F6020" w:rsidRPr="00BF662C" w:rsidRDefault="004F6020" w:rsidP="004E3B6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62C">
        <w:rPr>
          <w:rFonts w:ascii="Times New Roman" w:hAnsi="Times New Roman" w:cs="Times New Roman"/>
          <w:b/>
          <w:i/>
          <w:sz w:val="24"/>
          <w:szCs w:val="24"/>
          <w:u w:val="single"/>
        </w:rPr>
        <w:t>Важно!</w:t>
      </w:r>
    </w:p>
    <w:p w:rsidR="004F6020" w:rsidRPr="00BF662C" w:rsidRDefault="004F6020" w:rsidP="004E3B68">
      <w:pPr>
        <w:spacing w:before="120" w:after="12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BF662C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Отчитайки необходимото време за проверки и други подготвителни дейности, Община </w:t>
      </w:r>
      <w:r w:rsidR="00B51B6E" w:rsidRPr="00BF662C">
        <w:rPr>
          <w:rFonts w:ascii="Times New Roman" w:hAnsi="Times New Roman" w:cs="Times New Roman"/>
          <w:i/>
          <w:sz w:val="24"/>
          <w:szCs w:val="24"/>
          <w:u w:val="single"/>
        </w:rPr>
        <w:t>РОМАН</w:t>
      </w:r>
      <w:r w:rsidRPr="00BF66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няма да приема заявления за участие след </w:t>
      </w:r>
      <w:r w:rsidRPr="00BF662C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10.05.202</w:t>
      </w:r>
      <w:r w:rsidR="00B14BBB" w:rsidRPr="00BF662C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3</w:t>
      </w:r>
      <w:r w:rsidRPr="00BF662C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 xml:space="preserve"> г</w:t>
      </w:r>
      <w:r w:rsidRPr="00BF662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.</w:t>
      </w:r>
    </w:p>
    <w:p w:rsidR="004F6020" w:rsidRPr="00BF662C" w:rsidRDefault="004F6020" w:rsidP="004E3B6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 xml:space="preserve">В случай, че на етапа на кандидатстване, съгласно техническата документация, се констатират разходи, които не са допустими, но са задължителни за сградата, </w:t>
      </w:r>
      <w:r w:rsidR="008778DB" w:rsidRPr="00BF662C">
        <w:rPr>
          <w:rFonts w:ascii="Times New Roman" w:hAnsi="Times New Roman" w:cs="Times New Roman"/>
          <w:sz w:val="24"/>
          <w:szCs w:val="24"/>
        </w:rPr>
        <w:t xml:space="preserve">се посочват като </w:t>
      </w:r>
      <w:r w:rsidRPr="00BF662C">
        <w:rPr>
          <w:rFonts w:ascii="Times New Roman" w:hAnsi="Times New Roman" w:cs="Times New Roman"/>
          <w:sz w:val="24"/>
          <w:szCs w:val="24"/>
        </w:rPr>
        <w:t>собствен принос</w:t>
      </w:r>
      <w:r w:rsidR="008778DB" w:rsidRPr="00BF662C">
        <w:rPr>
          <w:rFonts w:ascii="Times New Roman" w:hAnsi="Times New Roman" w:cs="Times New Roman"/>
          <w:sz w:val="24"/>
          <w:szCs w:val="24"/>
        </w:rPr>
        <w:t>.</w:t>
      </w:r>
    </w:p>
    <w:p w:rsidR="007E5001" w:rsidRPr="00BF662C" w:rsidRDefault="007E5001" w:rsidP="007E50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21672149"/>
      <w:r w:rsidRPr="00BF662C">
        <w:rPr>
          <w:rFonts w:ascii="Times New Roman" w:hAnsi="Times New Roman" w:cs="Times New Roman"/>
          <w:b/>
          <w:sz w:val="24"/>
          <w:szCs w:val="24"/>
        </w:rPr>
        <w:t>КРИТЕРИИ ЗА ОЦЕНЯВАНЕ НА ПРЕДЛОЖЕНИЯ ЗА ИЗПЪЛНЕНИЕ НА ИНВЕСТИЦИЯ</w:t>
      </w:r>
      <w:bookmarkEnd w:id="4"/>
    </w:p>
    <w:p w:rsidR="007E5001" w:rsidRPr="00BF662C" w:rsidRDefault="007E5001" w:rsidP="007E50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62C">
        <w:rPr>
          <w:rFonts w:ascii="Times New Roman" w:hAnsi="Times New Roman" w:cs="Times New Roman"/>
          <w:b/>
          <w:sz w:val="24"/>
          <w:szCs w:val="24"/>
        </w:rPr>
        <w:t>Критерии за административна допустимост</w:t>
      </w:r>
    </w:p>
    <w:p w:rsidR="007E5001" w:rsidRPr="00BF662C" w:rsidRDefault="007E5001" w:rsidP="007E5001">
      <w:pPr>
        <w:pStyle w:val="a7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Предложението е подадено в рамките на крайния срок, съгласно Насоките за кандидатстване</w:t>
      </w:r>
    </w:p>
    <w:p w:rsidR="007E5001" w:rsidRPr="00BF662C" w:rsidRDefault="007E5001" w:rsidP="007E50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В случай че посоченото изискване не е спазено, предложението се отхвърля без да се проверява съответствие със следващите критерии за оценка!</w:t>
      </w:r>
    </w:p>
    <w:p w:rsidR="007E5001" w:rsidRPr="00BF662C" w:rsidRDefault="007E5001" w:rsidP="007E5001">
      <w:pPr>
        <w:pStyle w:val="a7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 xml:space="preserve">Предложението е подадено в партньорство с община – водещ партньор, представляващо кандидата </w:t>
      </w:r>
    </w:p>
    <w:p w:rsidR="007E5001" w:rsidRPr="00BF662C" w:rsidRDefault="007E5001" w:rsidP="007E5001">
      <w:pPr>
        <w:pStyle w:val="a7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Предложението е подадено от оправомощено за целите на подаване на предложението лице и е приложено пълномощно/заповед за упълномощаване  </w:t>
      </w:r>
    </w:p>
    <w:p w:rsidR="007E5001" w:rsidRPr="00BF662C" w:rsidRDefault="007E5001" w:rsidP="007E5001">
      <w:pPr>
        <w:pStyle w:val="a7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Всички приложими полета на формуляра за кандидатстване са попълнени с относимата информация за целите на оценката</w:t>
      </w:r>
    </w:p>
    <w:p w:rsidR="007E5001" w:rsidRPr="00BF662C" w:rsidRDefault="007E5001" w:rsidP="007B12C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Не е установено двойно финансиране за дейностите, включени в ПИИ</w:t>
      </w:r>
    </w:p>
    <w:p w:rsidR="007E5001" w:rsidRPr="00BF662C" w:rsidRDefault="007E5001" w:rsidP="007E5001">
      <w:pPr>
        <w:pStyle w:val="a7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Представено е протокол с решение за създаване на СС и протокол на общото събрание на етажната собственост с решение за одобряване на кандидатстването по настоящата процедура</w:t>
      </w:r>
    </w:p>
    <w:p w:rsidR="007E5001" w:rsidRPr="00BF662C" w:rsidRDefault="007E5001" w:rsidP="007E5001">
      <w:pPr>
        <w:pStyle w:val="a7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Приложен е документ за регистрация на СС в съответствие с изискванията по процедурата, съгласно Насоките за кандидатстване</w:t>
      </w:r>
    </w:p>
    <w:p w:rsidR="007E5001" w:rsidRPr="00BF662C" w:rsidRDefault="007E5001" w:rsidP="007E5001">
      <w:pPr>
        <w:pStyle w:val="a7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Представено е обследване за енергийна ефективност и валиден сертификат за енергийни характеристики на сграда в експлоатация с предписан пакет от енергоспестяващи мерки за постигане на най-малко клас на енергопотребление „В“ и постигане на минимум 30% спестяване на първична енергия, изготвени по реда на актуалната към момента на кандидатстване наредба по чл. 48 от ЗЕЕ</w:t>
      </w:r>
    </w:p>
    <w:p w:rsidR="007E5001" w:rsidRPr="00BF662C" w:rsidRDefault="007E5001" w:rsidP="007E5001">
      <w:pPr>
        <w:pStyle w:val="a7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Представено е обследване за установяване на техническите характеристики, свързани с удовлетворяване на изискванията по чл. 169, ал. 1 и ал. 3 от ЗУТ и Технически паспорт в съответствие с изискванията, определени в глава трета на Наредба № 5 от 2006 г. за техническите паспорти на строежите</w:t>
      </w:r>
    </w:p>
    <w:p w:rsidR="007E5001" w:rsidRPr="00BF662C" w:rsidRDefault="007E5001" w:rsidP="007E5001">
      <w:pPr>
        <w:pStyle w:val="a7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Съгласно представеното техническо обследване на сградата, извършено в съответствие с глава трета от Наредба 5 от 28 декември 2006 г. за техническите паспорти на строежите, е установено, че сградата отговаря на съществените изисквания към строежите съгласно чл. 169, ал. 1, т. 1 от ЗУТ и е получила положителна оценка за сеизмична осигуреност, независимо дали е осигурена или неосигурена на сеизмични въздействия, в съответствие с Наредба № РД-02-20-2 от 27 януари 2012 г. за проектиране на сгради и съоръжения в земетръсни райони.</w:t>
      </w:r>
    </w:p>
    <w:p w:rsidR="007E5001" w:rsidRPr="00BF662C" w:rsidRDefault="007E5001" w:rsidP="007E5001">
      <w:pPr>
        <w:pStyle w:val="a7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 xml:space="preserve">Представена e Обобщена КСС по окрупнени показатели  </w:t>
      </w:r>
    </w:p>
    <w:p w:rsidR="007E5001" w:rsidRPr="00BF662C" w:rsidRDefault="007E5001" w:rsidP="007E5001">
      <w:pPr>
        <w:pStyle w:val="a7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Приложено е партньорско споразумение между общинската администрация и сдружението на собствениците</w:t>
      </w:r>
    </w:p>
    <w:p w:rsidR="007E5001" w:rsidRPr="00BF662C" w:rsidRDefault="007E5001" w:rsidP="007E5001">
      <w:pPr>
        <w:pStyle w:val="a7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Предложението е в съответствие с изискванията на приложимия режим за държавна помощ</w:t>
      </w:r>
    </w:p>
    <w:p w:rsidR="007E5001" w:rsidRPr="00BF662C" w:rsidRDefault="007E5001" w:rsidP="007E5001">
      <w:pPr>
        <w:pStyle w:val="a7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Крайният получател е допустим кандидат на финансирането по процедурата</w:t>
      </w:r>
    </w:p>
    <w:p w:rsidR="007E5001" w:rsidRPr="00BF662C" w:rsidRDefault="007E5001" w:rsidP="007E5001">
      <w:pPr>
        <w:pStyle w:val="a7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 xml:space="preserve">Сградата-обект на интервенция е многофамилна жилищна сграда и отговаря на изискванията за допустимост  </w:t>
      </w:r>
    </w:p>
    <w:p w:rsidR="007E5001" w:rsidRPr="00BF662C" w:rsidRDefault="007E5001" w:rsidP="007E5001">
      <w:pPr>
        <w:pStyle w:val="a7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 xml:space="preserve">Предложеният размер на средствата е съобразен с минималния и максималния размер, съгласно Насоките за кандидатстване  </w:t>
      </w:r>
    </w:p>
    <w:p w:rsidR="007E5001" w:rsidRPr="00BF662C" w:rsidRDefault="007E5001" w:rsidP="007E5001">
      <w:pPr>
        <w:pStyle w:val="a7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Продължителността на предложението съответства на максимално допустимия период на изпълнение, съгласно Насоките за кандидатстване</w:t>
      </w:r>
    </w:p>
    <w:p w:rsidR="007E5001" w:rsidRPr="00BF662C" w:rsidRDefault="007E5001" w:rsidP="007E5001">
      <w:pPr>
        <w:pStyle w:val="a7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Предвидените за  финансиране със средства от МВУ мерки, съответстват на допустимите дейности по процедурата</w:t>
      </w:r>
    </w:p>
    <w:p w:rsidR="007E5001" w:rsidRPr="00BF662C" w:rsidRDefault="007E5001" w:rsidP="007E5001">
      <w:pPr>
        <w:pStyle w:val="a7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lastRenderedPageBreak/>
        <w:t>Разходите в предложението, за които се предвижда финансиране със средства от МВУ, са допустими за финансиране по процедурата</w:t>
      </w:r>
    </w:p>
    <w:p w:rsidR="007E5001" w:rsidRPr="00BF662C" w:rsidRDefault="007E5001" w:rsidP="007E5001">
      <w:pPr>
        <w:pStyle w:val="a7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 xml:space="preserve">Разходите за СМР, посочени в бюджета на предложението съответстват на общата стойност на приложените КСС </w:t>
      </w:r>
    </w:p>
    <w:p w:rsidR="007E5001" w:rsidRPr="00BF662C" w:rsidRDefault="007E5001" w:rsidP="007E5001">
      <w:pPr>
        <w:pStyle w:val="a7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 xml:space="preserve">Включените в бюджета на проекта разходи не надхвърлят пределните стойности за отделните категории разходи посочени в Насоките за кандидатстване   </w:t>
      </w:r>
    </w:p>
    <w:p w:rsidR="007E5001" w:rsidRPr="00BF662C" w:rsidRDefault="007E5001" w:rsidP="007E5001">
      <w:pPr>
        <w:pStyle w:val="a7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Целевите стойности на индикаторите са правилно остойностени и съответстват на дейностите по предложението за изпълнение на инвестиция</w:t>
      </w:r>
    </w:p>
    <w:p w:rsidR="007E5001" w:rsidRPr="00BF662C" w:rsidRDefault="007E5001" w:rsidP="007E5001">
      <w:pPr>
        <w:pStyle w:val="a7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sz w:val="24"/>
          <w:szCs w:val="24"/>
        </w:rPr>
        <w:t>Предложението за изпълнение на инвестиция е в съответствие с принципа за „ненанасяне на значителни вреди“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8"/>
        <w:gridCol w:w="930"/>
        <w:gridCol w:w="3670"/>
      </w:tblGrid>
      <w:tr w:rsidR="007B12CB" w:rsidRPr="00BF662C" w:rsidTr="00350F39">
        <w:tc>
          <w:tcPr>
            <w:tcW w:w="2611" w:type="pct"/>
            <w:shd w:val="clear" w:color="auto" w:fill="D9D9D9"/>
          </w:tcPr>
          <w:p w:rsidR="007B12CB" w:rsidRPr="00BF662C" w:rsidRDefault="007B12CB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 w:type="page"/>
            </w:r>
            <w:r w:rsidRPr="00BF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за оценка на качеството</w:t>
            </w:r>
          </w:p>
        </w:tc>
        <w:tc>
          <w:tcPr>
            <w:tcW w:w="483" w:type="pct"/>
            <w:shd w:val="clear" w:color="auto" w:fill="D9D9D9"/>
          </w:tcPr>
          <w:p w:rsidR="007B12CB" w:rsidRPr="00BF662C" w:rsidRDefault="007B12CB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/>
                <w:sz w:val="24"/>
                <w:szCs w:val="24"/>
              </w:rPr>
              <w:t>Макс. брой точки</w:t>
            </w:r>
          </w:p>
        </w:tc>
        <w:tc>
          <w:tcPr>
            <w:tcW w:w="1906" w:type="pct"/>
            <w:shd w:val="clear" w:color="auto" w:fill="D9D9D9"/>
          </w:tcPr>
          <w:p w:rsidR="007B12CB" w:rsidRPr="00BF662C" w:rsidRDefault="007B12CB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/>
                <w:sz w:val="24"/>
                <w:szCs w:val="24"/>
              </w:rPr>
              <w:t>Източник на проверка</w:t>
            </w:r>
          </w:p>
        </w:tc>
      </w:tr>
      <w:tr w:rsidR="00350F39" w:rsidRPr="00BF662C" w:rsidTr="00350F39">
        <w:trPr>
          <w:trHeight w:val="439"/>
        </w:trPr>
        <w:tc>
          <w:tcPr>
            <w:tcW w:w="2611" w:type="pct"/>
            <w:shd w:val="clear" w:color="auto" w:fill="auto"/>
          </w:tcPr>
          <w:p w:rsidR="00350F39" w:rsidRPr="00BF662C" w:rsidRDefault="00350F39" w:rsidP="009D3C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енергийно спестяване в годишното потребление на първична невъзобновяема енергия в резултат на енергоспестяващите мерки</w:t>
            </w:r>
          </w:p>
          <w:p w:rsidR="009D3C87" w:rsidRPr="00BF662C" w:rsidRDefault="009D3C87" w:rsidP="009D3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:rsidR="00350F39" w:rsidRPr="00BF662C" w:rsidDel="009121CD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06" w:type="pct"/>
            <w:vMerge w:val="restart"/>
            <w:shd w:val="clear" w:color="auto" w:fill="auto"/>
          </w:tcPr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Валиден сертификат за енергийни характеристики на сграда в експлоатация – енергийните спестявания</w:t>
            </w:r>
            <w:r w:rsidRPr="00BF6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66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 изчисляват по следната формула:</w:t>
            </w:r>
          </w:p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%</w:t>
            </w:r>
            <w:r w:rsidRPr="00BF6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66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спестявания </w:t>
            </w:r>
            <w:r w:rsidRPr="00BF6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=</w:t>
            </w:r>
            <w:r w:rsidRPr="00BF66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{общо нормализирано потребление на първична невъзобновяема енергия при актуално състояние (преди изпълнение на ЕСМ) в kWh/год. </w:t>
            </w:r>
            <w:r w:rsidRPr="00BF6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BF66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обща първична невъзобновяема енергия след изпълнение на ЕСМ от избрания пакет в kWh/год. } </w:t>
            </w:r>
            <w:r w:rsidRPr="00BF6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/ </w:t>
            </w:r>
            <w:r w:rsidRPr="00BF66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{общо нормализирано потребление на първична невъзобновяема енергия при актуално състояние (преди изпълнение на ЕСМ) в kWh/год.} х 100</w:t>
            </w:r>
          </w:p>
        </w:tc>
      </w:tr>
      <w:tr w:rsidR="00350F39" w:rsidRPr="00BF662C" w:rsidTr="00350F39">
        <w:tc>
          <w:tcPr>
            <w:tcW w:w="2611" w:type="pct"/>
            <w:shd w:val="clear" w:color="auto" w:fill="auto"/>
          </w:tcPr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 &gt; 65 %</w:t>
            </w:r>
          </w:p>
        </w:tc>
        <w:tc>
          <w:tcPr>
            <w:tcW w:w="483" w:type="pct"/>
            <w:shd w:val="clear" w:color="auto" w:fill="auto"/>
          </w:tcPr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6" w:type="pct"/>
            <w:vMerge/>
            <w:shd w:val="clear" w:color="auto" w:fill="auto"/>
          </w:tcPr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50F39" w:rsidRPr="00BF662C" w:rsidTr="00350F39">
        <w:tc>
          <w:tcPr>
            <w:tcW w:w="2611" w:type="pct"/>
            <w:shd w:val="clear" w:color="auto" w:fill="auto"/>
          </w:tcPr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&gt; 62% ≤ 65%  </w:t>
            </w:r>
          </w:p>
        </w:tc>
        <w:tc>
          <w:tcPr>
            <w:tcW w:w="483" w:type="pct"/>
            <w:shd w:val="clear" w:color="auto" w:fill="auto"/>
          </w:tcPr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6" w:type="pct"/>
            <w:vMerge/>
            <w:shd w:val="clear" w:color="auto" w:fill="auto"/>
          </w:tcPr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50F39" w:rsidRPr="00BF662C" w:rsidTr="00350F39">
        <w:tc>
          <w:tcPr>
            <w:tcW w:w="2611" w:type="pct"/>
            <w:shd w:val="clear" w:color="auto" w:fill="auto"/>
          </w:tcPr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&gt; 60% ≤ 62%  </w:t>
            </w:r>
          </w:p>
        </w:tc>
        <w:tc>
          <w:tcPr>
            <w:tcW w:w="483" w:type="pct"/>
            <w:shd w:val="clear" w:color="auto" w:fill="auto"/>
          </w:tcPr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6" w:type="pct"/>
            <w:vMerge/>
            <w:shd w:val="clear" w:color="auto" w:fill="auto"/>
          </w:tcPr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50F39" w:rsidRPr="00BF662C" w:rsidTr="00350F39">
        <w:tc>
          <w:tcPr>
            <w:tcW w:w="2611" w:type="pct"/>
            <w:shd w:val="clear" w:color="auto" w:fill="auto"/>
          </w:tcPr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&gt; 55% ≤ 60%  </w:t>
            </w:r>
          </w:p>
        </w:tc>
        <w:tc>
          <w:tcPr>
            <w:tcW w:w="483" w:type="pct"/>
            <w:shd w:val="clear" w:color="auto" w:fill="auto"/>
          </w:tcPr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6" w:type="pct"/>
            <w:vMerge/>
            <w:shd w:val="clear" w:color="auto" w:fill="auto"/>
          </w:tcPr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50F39" w:rsidRPr="00BF662C" w:rsidTr="00350F39">
        <w:tc>
          <w:tcPr>
            <w:tcW w:w="2611" w:type="pct"/>
            <w:shd w:val="clear" w:color="auto" w:fill="auto"/>
          </w:tcPr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 &gt; 50% ≤ 55%  </w:t>
            </w:r>
          </w:p>
        </w:tc>
        <w:tc>
          <w:tcPr>
            <w:tcW w:w="483" w:type="pct"/>
            <w:shd w:val="clear" w:color="auto" w:fill="auto"/>
          </w:tcPr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6" w:type="pct"/>
            <w:vMerge/>
            <w:shd w:val="clear" w:color="auto" w:fill="auto"/>
          </w:tcPr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50F39" w:rsidRPr="00BF662C" w:rsidTr="00350F39">
        <w:tc>
          <w:tcPr>
            <w:tcW w:w="2611" w:type="pct"/>
            <w:shd w:val="clear" w:color="auto" w:fill="auto"/>
          </w:tcPr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&gt; 45% ≤ 50%  </w:t>
            </w:r>
          </w:p>
        </w:tc>
        <w:tc>
          <w:tcPr>
            <w:tcW w:w="483" w:type="pct"/>
            <w:shd w:val="clear" w:color="auto" w:fill="auto"/>
          </w:tcPr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6" w:type="pct"/>
            <w:vMerge/>
            <w:shd w:val="clear" w:color="auto" w:fill="auto"/>
          </w:tcPr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50F39" w:rsidRPr="00BF662C" w:rsidTr="00350F39">
        <w:tc>
          <w:tcPr>
            <w:tcW w:w="2611" w:type="pct"/>
            <w:shd w:val="clear" w:color="auto" w:fill="auto"/>
          </w:tcPr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 ≥ 30% ≤ 45%  </w:t>
            </w:r>
          </w:p>
        </w:tc>
        <w:tc>
          <w:tcPr>
            <w:tcW w:w="483" w:type="pct"/>
            <w:shd w:val="clear" w:color="auto" w:fill="auto"/>
          </w:tcPr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6" w:type="pct"/>
            <w:vMerge/>
            <w:shd w:val="clear" w:color="auto" w:fill="auto"/>
          </w:tcPr>
          <w:p w:rsidR="00350F39" w:rsidRPr="00BF662C" w:rsidRDefault="00350F39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9D3C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Очаквано годишно намаляване на емисиите на СО</w:t>
            </w:r>
            <w:r w:rsidRPr="00BF662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F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(екологични ползи) – тона/год. 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06" w:type="pct"/>
            <w:vMerge w:val="restart"/>
            <w:shd w:val="clear" w:color="auto" w:fill="auto"/>
          </w:tcPr>
          <w:p w:rsidR="009D3C87" w:rsidRPr="00BF662C" w:rsidRDefault="009D3C87" w:rsidP="009D3C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Валиден сертификат за енергийни характеристики на сграда в експлоатация – общо спестени емисии CO2 (тона/год.)</w:t>
            </w: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 &gt; 80 т CO2 екв. 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6" w:type="pct"/>
            <w:vMerge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&gt; 60 т CO2 екв. ≤ 80 т CO2 екв.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6" w:type="pct"/>
            <w:vMerge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&gt; 40 т CO2 екв. ≤ 60 т CO2 екв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6" w:type="pct"/>
            <w:vMerge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 &gt; 30 т CO2 екв. ≤ 40 т CO2 екв.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6" w:type="pct"/>
            <w:vMerge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&gt; 20 т CO2 екв. ≤ 30 т CO2 екв.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6" w:type="pct"/>
            <w:vMerge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 ≤ 20 т CO2 екв.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6" w:type="pct"/>
            <w:vMerge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9D3C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Ефективност на инвестицията за енергийна ефективност като отношение на необходимата инвестиция в лева към количеството спестена първична невъзобновяема енергия в kWh на годишна база – лв. /kWh/г</w:t>
            </w: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C87" w:rsidRPr="00BF662C" w:rsidRDefault="009D3C87" w:rsidP="009D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87" w:rsidRPr="00BF662C" w:rsidRDefault="009D3C87" w:rsidP="009D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906" w:type="pct"/>
            <w:vMerge w:val="restar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Валиден сертификат за енергийни характеристики на сграда в експлоатация – изчислява се като се раздели общата стойност  в лева на проекта (обща стойност на БФП) на очакваното количество спестена първична невъзобновяема енергия в kWh/год. </w:t>
            </w:r>
          </w:p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Спестената първична невъзобновяема енергия в kWh/г. се определя от </w:t>
            </w:r>
            <w:r w:rsidRPr="00BF66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валидния сертификат за енергийни характеристики на сграда в експлоатация (стр.1 и стр.5) – енергийните спестявания</w:t>
            </w:r>
            <w:r w:rsidRPr="00BF6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66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се изчисляват по следната формула: спестена първична невъзобновяема енергия в kWh/год. </w:t>
            </w:r>
            <w:r w:rsidRPr="00BF6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=</w:t>
            </w:r>
            <w:r w:rsidRPr="00BF66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общо нормализирано потребление на първична невъзобновяема енергия при актуално състояние (преди изпълнение на ЕСМ) в kWh/год. </w:t>
            </w:r>
            <w:r w:rsidRPr="00BF6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BF66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обща първична невъзобновяема енергия след изпълнение на ЕСМ от избрания пакет в kWh/год.</w:t>
            </w: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 ≤ 1,75 лв./кWh/г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6" w:type="pct"/>
            <w:vMerge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 &gt; 1,75 лв./кWh/г  ≤ 1,90 лв./кWh/г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6" w:type="pct"/>
            <w:vMerge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 &gt; 1,90 лв./кWh/г  ≤ 2,00 лв./кWh/г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6" w:type="pct"/>
            <w:vMerge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 &gt; 2,00 лв./кWh/г  ≤ 2,10 лв./кWh/г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6" w:type="pct"/>
            <w:vMerge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&gt; 2,10 лв./кWh/г  ≤ 2,20 лв./кWh/г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6" w:type="pct"/>
            <w:vMerge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&gt; 2,20 лв./кWh/г  ≤ 2,50 лв./кWh/г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6" w:type="pct"/>
            <w:vMerge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 &gt; 2,50 лв./кWh/г 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6" w:type="pct"/>
            <w:vMerge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9D3C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Целесъобразност на инвестицията за енергийна ефективност като разгъната застроена площ </w:t>
            </w:r>
            <w:r w:rsidRPr="00BF662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BF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62C">
              <w:rPr>
                <w:rFonts w:ascii="Times New Roman" w:hAnsi="Times New Roman" w:cs="Times New Roman"/>
                <w:bCs/>
                <w:sz w:val="24"/>
                <w:szCs w:val="24"/>
              </w:rPr>
              <w:t>сградата/блок-секцията/групата от блок-секции</w:t>
            </w:r>
            <w:r w:rsidRPr="00BF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06" w:type="pct"/>
            <w:vMerge w:val="restar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Разгъната застроена площ на сградата е посочена в техническото обследване и сертификата за енергийна ефективност</w:t>
            </w: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 &gt; 5 000 кв.м. РЗП </w:t>
            </w:r>
            <w:r w:rsidRPr="00BF662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BF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62C">
              <w:rPr>
                <w:rFonts w:ascii="Times New Roman" w:hAnsi="Times New Roman" w:cs="Times New Roman"/>
                <w:bCs/>
                <w:sz w:val="24"/>
                <w:szCs w:val="24"/>
              </w:rPr>
              <w:t>сградата/блок-секцията/групата от блок-секции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6" w:type="pct"/>
            <w:vMerge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  &gt; 4000 кв.м. РЗП </w:t>
            </w:r>
            <w:r w:rsidRPr="00BF662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BF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62C">
              <w:rPr>
                <w:rFonts w:ascii="Times New Roman" w:hAnsi="Times New Roman" w:cs="Times New Roman"/>
                <w:bCs/>
                <w:sz w:val="24"/>
                <w:szCs w:val="24"/>
              </w:rPr>
              <w:t>сградата/блок-секцията/групата от блок-секции</w:t>
            </w: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 ≤ 5 000 кв.м. РЗП </w:t>
            </w:r>
            <w:r w:rsidRPr="00BF662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BF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62C">
              <w:rPr>
                <w:rFonts w:ascii="Times New Roman" w:hAnsi="Times New Roman" w:cs="Times New Roman"/>
                <w:bCs/>
                <w:sz w:val="24"/>
                <w:szCs w:val="24"/>
              </w:rPr>
              <w:t>сградата/блок-секцията/групата от блок-секции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6" w:type="pct"/>
            <w:vMerge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  &gt; 3000 кв.м. РЗП </w:t>
            </w:r>
            <w:r w:rsidRPr="00BF662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BF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62C">
              <w:rPr>
                <w:rFonts w:ascii="Times New Roman" w:hAnsi="Times New Roman" w:cs="Times New Roman"/>
                <w:bCs/>
                <w:sz w:val="24"/>
                <w:szCs w:val="24"/>
              </w:rPr>
              <w:t>сградата/блок-секцията/групата от блок-секции</w:t>
            </w: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 ≤ 4 000 кв.м. РЗП </w:t>
            </w:r>
            <w:r w:rsidRPr="00BF662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BF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62C">
              <w:rPr>
                <w:rFonts w:ascii="Times New Roman" w:hAnsi="Times New Roman" w:cs="Times New Roman"/>
                <w:bCs/>
                <w:sz w:val="24"/>
                <w:szCs w:val="24"/>
              </w:rPr>
              <w:t>сградата/блок-секцията/групата от блок-секции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6" w:type="pct"/>
            <w:vMerge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&gt; 2000 кв.м. РЗП </w:t>
            </w:r>
            <w:r w:rsidRPr="00BF662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BF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62C">
              <w:rPr>
                <w:rFonts w:ascii="Times New Roman" w:hAnsi="Times New Roman" w:cs="Times New Roman"/>
                <w:bCs/>
                <w:sz w:val="24"/>
                <w:szCs w:val="24"/>
              </w:rPr>
              <w:t>сградата/блок-секцията/групата от блок-секции</w:t>
            </w: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 ≤ 3 000 кв.м. РЗП </w:t>
            </w:r>
            <w:r w:rsidRPr="00BF662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BF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62C">
              <w:rPr>
                <w:rFonts w:ascii="Times New Roman" w:hAnsi="Times New Roman" w:cs="Times New Roman"/>
                <w:bCs/>
                <w:sz w:val="24"/>
                <w:szCs w:val="24"/>
              </w:rPr>
              <w:t>сградата/блок-секцията/групата от блок-секции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6" w:type="pct"/>
            <w:vMerge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&gt; 1000 кв.м. РЗП </w:t>
            </w:r>
            <w:r w:rsidRPr="00BF662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BF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62C">
              <w:rPr>
                <w:rFonts w:ascii="Times New Roman" w:hAnsi="Times New Roman" w:cs="Times New Roman"/>
                <w:bCs/>
                <w:sz w:val="24"/>
                <w:szCs w:val="24"/>
              </w:rPr>
              <w:t>сградата/блок-секцията/групата от блок-секции</w:t>
            </w: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 ≤ 2 000 кв.м. РЗП </w:t>
            </w:r>
            <w:r w:rsidRPr="00BF662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BF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62C">
              <w:rPr>
                <w:rFonts w:ascii="Times New Roman" w:hAnsi="Times New Roman" w:cs="Times New Roman"/>
                <w:bCs/>
                <w:sz w:val="24"/>
                <w:szCs w:val="24"/>
              </w:rPr>
              <w:t>сградата/блок-секцията/групата от блок-секции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6" w:type="pct"/>
            <w:vMerge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 ≤ 1000 кв.м. РЗП </w:t>
            </w:r>
            <w:r w:rsidRPr="00BF662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BF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62C">
              <w:rPr>
                <w:rFonts w:ascii="Times New Roman" w:hAnsi="Times New Roman" w:cs="Times New Roman"/>
                <w:bCs/>
                <w:sz w:val="24"/>
                <w:szCs w:val="24"/>
              </w:rPr>
              <w:t>сградата/блок-секцията/групата от блок-секции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6" w:type="pct"/>
            <w:vMerge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9D3C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/>
                <w:sz w:val="24"/>
                <w:szCs w:val="24"/>
              </w:rPr>
              <w:t>Ниво на ангажираност на членовете на ЕС в СС към изпълнението на проекта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06" w:type="pct"/>
            <w:vMerge w:val="restar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Процентът идеални части се отчита спрямо актуалното удостоверение за сдружението издадено от общинската администрация </w:t>
            </w: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Собствениците на &gt; 95% от идеални части от общите части на ЕС членуват в СС и са подкрепили изпълнението на проекта при гласуването на общото събрание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6" w:type="pct"/>
            <w:vMerge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Собствениците на &gt; 80% и ≤95% от идеални части от общите части на ЕС членуват в СС и са подкрепили изпълнението на проекта при гласуването на общото събрание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6" w:type="pct"/>
            <w:vMerge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D3C87" w:rsidRPr="00BF662C" w:rsidTr="00350F39">
        <w:tc>
          <w:tcPr>
            <w:tcW w:w="2611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Собствениците на ≤80% от идеални части от общите части на ЕС членуват в СС и са подкрепили изпълнението на проекта при гласуването на общото събрание</w:t>
            </w:r>
          </w:p>
        </w:tc>
        <w:tc>
          <w:tcPr>
            <w:tcW w:w="483" w:type="pct"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6" w:type="pct"/>
            <w:vMerge/>
            <w:shd w:val="clear" w:color="auto" w:fill="auto"/>
          </w:tcPr>
          <w:p w:rsidR="009D3C87" w:rsidRPr="00BF662C" w:rsidRDefault="009D3C87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B12CB" w:rsidRPr="00BF662C" w:rsidTr="00350F39">
        <w:tc>
          <w:tcPr>
            <w:tcW w:w="2611" w:type="pct"/>
            <w:shd w:val="clear" w:color="auto" w:fill="auto"/>
          </w:tcPr>
          <w:p w:rsidR="007B12CB" w:rsidRPr="00BF662C" w:rsidRDefault="007B12CB" w:rsidP="009D3C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Постигнато ниво на подобрение на жилищната инфраструктура след прилагане на мерките по ЕЕ </w:t>
            </w:r>
          </w:p>
        </w:tc>
        <w:tc>
          <w:tcPr>
            <w:tcW w:w="483" w:type="pct"/>
            <w:shd w:val="clear" w:color="auto" w:fill="auto"/>
          </w:tcPr>
          <w:p w:rsidR="007B12CB" w:rsidRPr="00BF662C" w:rsidRDefault="007B12CB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7B12CB" w:rsidRPr="00BF662C" w:rsidRDefault="007B12CB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7B12CB" w:rsidRPr="00BF662C" w:rsidRDefault="007B12CB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2CB" w:rsidRPr="00BF662C" w:rsidTr="00350F39">
        <w:tc>
          <w:tcPr>
            <w:tcW w:w="2611" w:type="pct"/>
            <w:shd w:val="clear" w:color="auto" w:fill="auto"/>
          </w:tcPr>
          <w:p w:rsidR="007B12CB" w:rsidRPr="00BF662C" w:rsidRDefault="007B12CB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6.1. Обектът на интервенция ще постигне клас енергопотребление „А“ или „сграда с близко до нулево потребление на енергия“ след изпълнението на включените в доклада от енергийното обследване мерки</w:t>
            </w:r>
          </w:p>
        </w:tc>
        <w:tc>
          <w:tcPr>
            <w:tcW w:w="483" w:type="pct"/>
            <w:shd w:val="clear" w:color="auto" w:fill="auto"/>
          </w:tcPr>
          <w:p w:rsidR="007B12CB" w:rsidRPr="00BF662C" w:rsidRDefault="007B12CB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6" w:type="pct"/>
            <w:shd w:val="clear" w:color="auto" w:fill="auto"/>
          </w:tcPr>
          <w:p w:rsidR="007B12CB" w:rsidRPr="00BF662C" w:rsidRDefault="007B12CB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Валиден сертификат за енергийни характеристики на сграда в експлоатация</w:t>
            </w:r>
          </w:p>
        </w:tc>
      </w:tr>
      <w:tr w:rsidR="007B12CB" w:rsidRPr="00BF662C" w:rsidTr="00350F39">
        <w:tc>
          <w:tcPr>
            <w:tcW w:w="2611" w:type="pct"/>
            <w:shd w:val="clear" w:color="auto" w:fill="auto"/>
          </w:tcPr>
          <w:p w:rsidR="007B12CB" w:rsidRPr="00BF662C" w:rsidRDefault="007B12CB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 xml:space="preserve">6.2 Проектът предвижда изпълнението на мерки допринасящи общия архитектурен облик на града в съответствие с одобрена от общинската администрация наредба/указания  </w:t>
            </w:r>
          </w:p>
        </w:tc>
        <w:tc>
          <w:tcPr>
            <w:tcW w:w="483" w:type="pct"/>
            <w:shd w:val="clear" w:color="auto" w:fill="auto"/>
          </w:tcPr>
          <w:p w:rsidR="007B12CB" w:rsidRPr="00BF662C" w:rsidDel="00A80505" w:rsidRDefault="007B12CB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pct"/>
            <w:shd w:val="clear" w:color="auto" w:fill="auto"/>
          </w:tcPr>
          <w:p w:rsidR="007B12CB" w:rsidRPr="00BF662C" w:rsidRDefault="007B12CB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т.11 от формуляра  следва да бъде посочен линк към общинския документ даващ съответните предписания</w:t>
            </w:r>
          </w:p>
        </w:tc>
      </w:tr>
      <w:tr w:rsidR="007B12CB" w:rsidRPr="00BF662C" w:rsidTr="00350F39">
        <w:tc>
          <w:tcPr>
            <w:tcW w:w="2611" w:type="pct"/>
            <w:shd w:val="clear" w:color="auto" w:fill="auto"/>
          </w:tcPr>
          <w:p w:rsidR="007B12CB" w:rsidRPr="00BF662C" w:rsidRDefault="007B12CB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Максимален брой точки:</w:t>
            </w:r>
          </w:p>
        </w:tc>
        <w:tc>
          <w:tcPr>
            <w:tcW w:w="483" w:type="pct"/>
            <w:shd w:val="clear" w:color="auto" w:fill="auto"/>
          </w:tcPr>
          <w:p w:rsidR="007B12CB" w:rsidRPr="00BF662C" w:rsidRDefault="007B12CB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66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140</w:t>
            </w:r>
          </w:p>
        </w:tc>
        <w:tc>
          <w:tcPr>
            <w:tcW w:w="1906" w:type="pct"/>
            <w:shd w:val="clear" w:color="auto" w:fill="auto"/>
          </w:tcPr>
          <w:p w:rsidR="007B12CB" w:rsidRPr="00BF662C" w:rsidRDefault="007B12CB" w:rsidP="007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A13A0" w:rsidRPr="00BF662C" w:rsidRDefault="007B12CB" w:rsidP="007B12C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2C">
        <w:rPr>
          <w:rFonts w:ascii="Times New Roman" w:hAnsi="Times New Roman" w:cs="Times New Roman"/>
          <w:b/>
          <w:sz w:val="24"/>
          <w:szCs w:val="24"/>
        </w:rPr>
        <w:t>Предложения, получили минимум 72 точки</w:t>
      </w:r>
      <w:r w:rsidRPr="00BF662C">
        <w:rPr>
          <w:rFonts w:ascii="Times New Roman" w:hAnsi="Times New Roman" w:cs="Times New Roman"/>
          <w:sz w:val="24"/>
          <w:szCs w:val="24"/>
        </w:rPr>
        <w:t xml:space="preserve"> на критерии за оценка на качеството, се класират в низходящ ред съобразно получената оценка, като за финансиране се предлагат всички ПИИ по реда на класирането до покриване на общия размер на бюджета по процедурата.</w:t>
      </w:r>
      <w:r w:rsidR="007E5001" w:rsidRPr="00BF662C">
        <w:rPr>
          <w:rFonts w:ascii="Times New Roman" w:hAnsi="Times New Roman" w:cs="Times New Roman"/>
          <w:sz w:val="24"/>
          <w:szCs w:val="24"/>
        </w:rPr>
        <w:t xml:space="preserve"> Всички предложения, които са преминали минималния праг на оценка, но за които не достига финансиране по настоящата процедура, ще формират списък с резервни предложения, които може да бъдат финансирани в случай на наличие на недоговорен/спестен финансов ресурс.</w:t>
      </w:r>
    </w:p>
    <w:p w:rsidR="00387D4B" w:rsidRPr="00BF662C" w:rsidRDefault="00387D4B" w:rsidP="007B12C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7D4B" w:rsidRPr="00BF662C" w:rsidSect="007A75AC">
      <w:headerReference w:type="default" r:id="rId8"/>
      <w:footerReference w:type="default" r:id="rId9"/>
      <w:pgSz w:w="11906" w:h="16838"/>
      <w:pgMar w:top="198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3B" w:rsidRDefault="00BA673B" w:rsidP="00DF0B5C">
      <w:pPr>
        <w:spacing w:after="0" w:line="240" w:lineRule="auto"/>
      </w:pPr>
      <w:r>
        <w:separator/>
      </w:r>
    </w:p>
  </w:endnote>
  <w:endnote w:type="continuationSeparator" w:id="0">
    <w:p w:rsidR="00BA673B" w:rsidRDefault="00BA673B" w:rsidP="00DF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Italic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0E" w:rsidRPr="009A5B0E" w:rsidRDefault="000813EB" w:rsidP="009A5B0E">
    <w:pPr>
      <w:pStyle w:val="a5"/>
      <w:jc w:val="center"/>
      <w:rPr>
        <w:b/>
        <w:color w:val="1F4E79" w:themeColor="accent1" w:themeShade="80"/>
        <w:sz w:val="20"/>
        <w:szCs w:val="20"/>
      </w:rPr>
    </w:pPr>
    <w:r w:rsidRPr="009A5B0E">
      <w:rPr>
        <w:b/>
        <w:color w:val="1F4E79" w:themeColor="accent1" w:themeShade="80"/>
        <w:sz w:val="20"/>
        <w:szCs w:val="20"/>
      </w:rPr>
      <w:t>НАЦИОНАЛЕН ПЛАН ЗА ВЪЗСТАНОВЯВАНЕ И УСТОЙЧИВОСТ</w:t>
    </w:r>
  </w:p>
  <w:p w:rsidR="009A5B0E" w:rsidRPr="009A5B0E" w:rsidRDefault="00DF0B5C" w:rsidP="009A5B0E">
    <w:pPr>
      <w:pStyle w:val="a5"/>
      <w:jc w:val="center"/>
      <w:rPr>
        <w:color w:val="1F4E79" w:themeColor="accent1" w:themeShade="80"/>
      </w:rPr>
    </w:pPr>
    <w:r w:rsidRPr="009A5B0E">
      <w:rPr>
        <w:b/>
        <w:color w:val="1F4E79" w:themeColor="accent1" w:themeShade="80"/>
        <w:sz w:val="20"/>
        <w:szCs w:val="20"/>
      </w:rPr>
      <w:t xml:space="preserve">Процедура BG-RRP-4.023 - Подкрепа за устойчиво енергийно обновяване на жилищния сграден фонд -етап </w:t>
    </w:r>
    <w:r w:rsidR="00D53176" w:rsidRPr="009A5B0E">
      <w:rPr>
        <w:b/>
        <w:color w:val="1F4E79" w:themeColor="accent1" w:themeShade="80"/>
        <w:sz w:val="20"/>
        <w:szCs w:val="20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3B" w:rsidRDefault="00BA673B" w:rsidP="00DF0B5C">
      <w:pPr>
        <w:spacing w:after="0" w:line="240" w:lineRule="auto"/>
      </w:pPr>
      <w:r>
        <w:separator/>
      </w:r>
    </w:p>
  </w:footnote>
  <w:footnote w:type="continuationSeparator" w:id="0">
    <w:p w:rsidR="00BA673B" w:rsidRDefault="00BA673B" w:rsidP="00DF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5C" w:rsidRPr="00DF0B5C" w:rsidRDefault="00D3036D" w:rsidP="00DF0B5C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Calibri" w:hAnsi="Calibri" w:cs="Times New Roman"/>
        <w:i/>
        <w:iCs/>
        <w:noProof/>
        <w:lang w:eastAsia="bg-BG"/>
      </w:rPr>
    </w:pPr>
    <w:r>
      <w:rPr>
        <w:noProof/>
        <w:lang w:eastAsia="bg-BG"/>
      </w:rPr>
      <w:drawing>
        <wp:inline distT="0" distB="0" distL="0" distR="0" wp14:anchorId="6CE486FA" wp14:editId="161B18AA">
          <wp:extent cx="679450" cy="971550"/>
          <wp:effectExtent l="0" t="0" r="6350" b="0"/>
          <wp:docPr id="6" name="Картина 6" descr="Resize of Resize of B_and_W Rom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Картина 6" descr="Resize of Resize of B_and_W Rom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0B5C" w:rsidRPr="00DF0B5C">
      <w:rPr>
        <w:rFonts w:ascii="Calibri" w:eastAsia="Calibri" w:hAnsi="Calibri" w:cs="Times New Roman"/>
        <w:i/>
        <w:iCs/>
        <w:noProof/>
        <w:lang w:eastAsia="bg-BG"/>
      </w:rPr>
      <w:drawing>
        <wp:anchor distT="0" distB="0" distL="114300" distR="114300" simplePos="0" relativeHeight="251658240" behindDoc="0" locked="0" layoutInCell="1" allowOverlap="1" wp14:anchorId="0D10C31F" wp14:editId="571A32BC">
          <wp:simplePos x="0" y="0"/>
          <wp:positionH relativeFrom="column">
            <wp:posOffset>-23495</wp:posOffset>
          </wp:positionH>
          <wp:positionV relativeFrom="paragraph">
            <wp:posOffset>-135255</wp:posOffset>
          </wp:positionV>
          <wp:extent cx="3019425" cy="828675"/>
          <wp:effectExtent l="0" t="0" r="0" b="0"/>
          <wp:wrapSquare wrapText="bothSides"/>
          <wp:docPr id="1" name="Picture 1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0B5C" w:rsidRDefault="00DF0B5C" w:rsidP="00D303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pStyle w:val="GfAheading1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1" w15:restartNumberingAfterBreak="0">
    <w:nsid w:val="037C57C7"/>
    <w:multiLevelType w:val="hybridMultilevel"/>
    <w:tmpl w:val="8472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97986"/>
    <w:multiLevelType w:val="hybridMultilevel"/>
    <w:tmpl w:val="AC5CD30C"/>
    <w:lvl w:ilvl="0" w:tplc="787CAAC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3640"/>
    <w:multiLevelType w:val="hybridMultilevel"/>
    <w:tmpl w:val="BB1CB9F2"/>
    <w:lvl w:ilvl="0" w:tplc="A08205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1C82"/>
    <w:multiLevelType w:val="hybridMultilevel"/>
    <w:tmpl w:val="E45A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F059B"/>
    <w:multiLevelType w:val="hybridMultilevel"/>
    <w:tmpl w:val="84E23A2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D7838"/>
    <w:multiLevelType w:val="hybridMultilevel"/>
    <w:tmpl w:val="B95CB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E0BCA"/>
    <w:multiLevelType w:val="hybridMultilevel"/>
    <w:tmpl w:val="CC08DF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D0471"/>
    <w:multiLevelType w:val="multilevel"/>
    <w:tmpl w:val="F91AF9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21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"/>
      <w:lvlJc w:val="left"/>
      <w:pPr>
        <w:tabs>
          <w:tab w:val="num" w:pos="851"/>
        </w:tabs>
        <w:ind w:left="2835" w:hanging="21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4366" w:hanging="328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5500" w:hanging="40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6634" w:hanging="48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6B2A77"/>
    <w:multiLevelType w:val="hybridMultilevel"/>
    <w:tmpl w:val="A2AE7CD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60B91"/>
    <w:multiLevelType w:val="hybridMultilevel"/>
    <w:tmpl w:val="B3EC13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9405A"/>
    <w:multiLevelType w:val="hybridMultilevel"/>
    <w:tmpl w:val="082CF6D6"/>
    <w:lvl w:ilvl="0" w:tplc="3140D7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53320"/>
    <w:multiLevelType w:val="hybridMultilevel"/>
    <w:tmpl w:val="3258C678"/>
    <w:lvl w:ilvl="0" w:tplc="58D45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05DD2"/>
    <w:multiLevelType w:val="multilevel"/>
    <w:tmpl w:val="0798A8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21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"/>
      <w:lvlJc w:val="left"/>
      <w:pPr>
        <w:tabs>
          <w:tab w:val="num" w:pos="851"/>
        </w:tabs>
        <w:ind w:left="2835" w:hanging="21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4366" w:hanging="3286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5500" w:hanging="40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6634" w:hanging="4834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94"/>
    <w:rsid w:val="00053D3C"/>
    <w:rsid w:val="00061C04"/>
    <w:rsid w:val="000813EB"/>
    <w:rsid w:val="00116CB2"/>
    <w:rsid w:val="0011755F"/>
    <w:rsid w:val="00267BAC"/>
    <w:rsid w:val="002A7F6A"/>
    <w:rsid w:val="00350F39"/>
    <w:rsid w:val="00387D4B"/>
    <w:rsid w:val="00430EAA"/>
    <w:rsid w:val="004E3B68"/>
    <w:rsid w:val="004F6020"/>
    <w:rsid w:val="006C2CE6"/>
    <w:rsid w:val="00710311"/>
    <w:rsid w:val="007965C4"/>
    <w:rsid w:val="007A75AC"/>
    <w:rsid w:val="007B12CB"/>
    <w:rsid w:val="007E5001"/>
    <w:rsid w:val="00805955"/>
    <w:rsid w:val="008778DB"/>
    <w:rsid w:val="009A13A0"/>
    <w:rsid w:val="009A5B0E"/>
    <w:rsid w:val="009D3C87"/>
    <w:rsid w:val="00A00DF4"/>
    <w:rsid w:val="00A6149B"/>
    <w:rsid w:val="00B14BBB"/>
    <w:rsid w:val="00B32C8D"/>
    <w:rsid w:val="00B51B6E"/>
    <w:rsid w:val="00B85440"/>
    <w:rsid w:val="00BA673B"/>
    <w:rsid w:val="00BD6EDD"/>
    <w:rsid w:val="00BE1E8C"/>
    <w:rsid w:val="00BF662C"/>
    <w:rsid w:val="00C318EA"/>
    <w:rsid w:val="00CC07B9"/>
    <w:rsid w:val="00CC27DE"/>
    <w:rsid w:val="00D21694"/>
    <w:rsid w:val="00D3036D"/>
    <w:rsid w:val="00D53176"/>
    <w:rsid w:val="00DA6A98"/>
    <w:rsid w:val="00DB5468"/>
    <w:rsid w:val="00DF0B5C"/>
    <w:rsid w:val="00DF72D5"/>
    <w:rsid w:val="00E2286D"/>
    <w:rsid w:val="00E92D02"/>
    <w:rsid w:val="00EE38AE"/>
    <w:rsid w:val="00F606A1"/>
    <w:rsid w:val="00F9488D"/>
    <w:rsid w:val="00FA27C6"/>
    <w:rsid w:val="00FA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14D1B"/>
  <w15:chartTrackingRefBased/>
  <w15:docId w15:val="{4FFDBF99-D4C8-44FE-9791-5E726874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F0B5C"/>
  </w:style>
  <w:style w:type="paragraph" w:styleId="a5">
    <w:name w:val="footer"/>
    <w:basedOn w:val="a"/>
    <w:link w:val="a6"/>
    <w:uiPriority w:val="99"/>
    <w:unhideWhenUsed/>
    <w:rsid w:val="00DF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F0B5C"/>
  </w:style>
  <w:style w:type="paragraph" w:styleId="a7">
    <w:name w:val="List Paragraph"/>
    <w:basedOn w:val="a"/>
    <w:uiPriority w:val="34"/>
    <w:qFormat/>
    <w:rsid w:val="00DB5468"/>
    <w:pPr>
      <w:ind w:left="720"/>
      <w:contextualSpacing/>
    </w:pPr>
  </w:style>
  <w:style w:type="paragraph" w:customStyle="1" w:styleId="GfAheading1">
    <w:name w:val="GfA heading 1"/>
    <w:basedOn w:val="a"/>
    <w:rsid w:val="00BF662C"/>
    <w:pPr>
      <w:numPr>
        <w:numId w:val="13"/>
      </w:num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mis2020.government.bg/bg/9e11cf9f/Project/New/dbc86350-cccd-414a-a175-a1d4409525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3197</Words>
  <Characters>18225</Characters>
  <Application>Microsoft Office Word</Application>
  <DocSecurity>0</DocSecurity>
  <Lines>151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Rozalina Georgieva</dc:creator>
  <cp:keywords/>
  <dc:description/>
  <cp:lastModifiedBy>User</cp:lastModifiedBy>
  <cp:revision>12</cp:revision>
  <dcterms:created xsi:type="dcterms:W3CDTF">2022-12-29T06:32:00Z</dcterms:created>
  <dcterms:modified xsi:type="dcterms:W3CDTF">2023-01-11T11:30:00Z</dcterms:modified>
</cp:coreProperties>
</file>